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C2E" w:rsidRPr="00A858BD" w:rsidRDefault="006A1C2E" w:rsidP="006A1C2E">
      <w:pPr>
        <w:shd w:val="clear" w:color="auto" w:fill="E7E6E6" w:themeFill="background2"/>
        <w:rPr>
          <w:b/>
          <w:i/>
          <w:sz w:val="28"/>
          <w:szCs w:val="28"/>
        </w:rPr>
      </w:pPr>
      <w:bookmarkStart w:id="0" w:name="_Hlk37146577"/>
      <w:r w:rsidRPr="00A858BD">
        <w:rPr>
          <w:b/>
          <w:i/>
          <w:sz w:val="28"/>
          <w:szCs w:val="28"/>
        </w:rPr>
        <w:t>Veille réglementaire</w:t>
      </w:r>
      <w:r>
        <w:rPr>
          <w:b/>
          <w:i/>
          <w:sz w:val="28"/>
          <w:szCs w:val="28"/>
        </w:rPr>
        <w:t xml:space="preserve"> #</w:t>
      </w:r>
      <w:r w:rsidR="00DC153A">
        <w:rPr>
          <w:b/>
          <w:i/>
          <w:sz w:val="28"/>
          <w:szCs w:val="28"/>
        </w:rPr>
        <w:t>jui</w:t>
      </w:r>
      <w:r w:rsidR="00EB6327">
        <w:rPr>
          <w:b/>
          <w:i/>
          <w:sz w:val="28"/>
          <w:szCs w:val="28"/>
        </w:rPr>
        <w:t>llet</w:t>
      </w:r>
      <w:r>
        <w:rPr>
          <w:b/>
          <w:i/>
          <w:sz w:val="28"/>
          <w:szCs w:val="28"/>
        </w:rPr>
        <w:t xml:space="preserve"> 202</w:t>
      </w:r>
      <w:r w:rsidR="00FA6690">
        <w:rPr>
          <w:b/>
          <w:i/>
          <w:sz w:val="28"/>
          <w:szCs w:val="28"/>
        </w:rPr>
        <w:t>6</w:t>
      </w:r>
    </w:p>
    <w:p w:rsidR="006A1C2E" w:rsidRDefault="006A1C2E" w:rsidP="006A1C2E"/>
    <w:p w:rsidR="006A1C2E" w:rsidRDefault="006A1C2E" w:rsidP="006A1C2E"/>
    <w:p w:rsidR="006A1C2E" w:rsidRDefault="00E53CE0" w:rsidP="006A1C2E">
      <w:pPr>
        <w:jc w:val="both"/>
      </w:pPr>
      <w:r>
        <w:t>Le département Maîtrise de l’Energie de l’ATEE</w:t>
      </w:r>
      <w:r w:rsidR="00A67E1F">
        <w:t>,</w:t>
      </w:r>
      <w:r>
        <w:t xml:space="preserve"> </w:t>
      </w:r>
      <w:r w:rsidR="006A1C2E">
        <w:t>vous propos</w:t>
      </w:r>
      <w:r>
        <w:t>e</w:t>
      </w:r>
      <w:r w:rsidR="006A1C2E">
        <w:t xml:space="preserve"> </w:t>
      </w:r>
      <w:r>
        <w:t>une</w:t>
      </w:r>
      <w:r w:rsidR="006A1C2E">
        <w:t xml:space="preserve"> sélection mensuelle des textes réglementaires </w:t>
      </w:r>
      <w:r w:rsidR="00717692">
        <w:t>à</w:t>
      </w:r>
      <w:r w:rsidR="006A1C2E">
        <w:t xml:space="preserve"> laquelle </w:t>
      </w:r>
      <w:r w:rsidR="00717692">
        <w:t xml:space="preserve">sont liés </w:t>
      </w:r>
      <w:r w:rsidR="006A1C2E">
        <w:t xml:space="preserve">les thèmes de la maîtrise de l’énergie, l’efficacité énergétique, l’environnement et plus amplement la décarbonation. </w:t>
      </w:r>
    </w:p>
    <w:p w:rsidR="006A1C2E" w:rsidRDefault="006A1C2E" w:rsidP="006A1C2E">
      <w:pPr>
        <w:jc w:val="both"/>
      </w:pPr>
    </w:p>
    <w:bookmarkEnd w:id="0"/>
    <w:p w:rsidR="006A1C2E" w:rsidRDefault="00A67E1F" w:rsidP="006A1C2E">
      <w:pPr>
        <w:jc w:val="both"/>
      </w:pPr>
      <w:r>
        <w:t xml:space="preserve">Elle </w:t>
      </w:r>
      <w:r w:rsidR="006A1C2E" w:rsidRPr="0042040E">
        <w:t xml:space="preserve">s'adresse en premier </w:t>
      </w:r>
      <w:r>
        <w:t xml:space="preserve">lieu </w:t>
      </w:r>
      <w:r w:rsidR="006A1C2E" w:rsidRPr="0042040E">
        <w:t xml:space="preserve">aux </w:t>
      </w:r>
      <w:r>
        <w:t xml:space="preserve">personnes en charge de gérer les économies d’énergie et la décarbonation dans l’industrie qui ne </w:t>
      </w:r>
      <w:r w:rsidR="006A1C2E" w:rsidRPr="0042040E">
        <w:t>dispos</w:t>
      </w:r>
      <w:r>
        <w:t>e</w:t>
      </w:r>
      <w:r w:rsidR="006A1C2E" w:rsidRPr="0042040E">
        <w:t>nt pas de service de veille</w:t>
      </w:r>
      <w:r w:rsidR="006A1C2E">
        <w:t xml:space="preserve"> en interne</w:t>
      </w:r>
      <w:r>
        <w:t>, p</w:t>
      </w:r>
      <w:r w:rsidR="006A1C2E">
        <w:t>uis</w:t>
      </w:r>
      <w:r>
        <w:t xml:space="preserve"> </w:t>
      </w:r>
      <w:r w:rsidR="006A1C2E">
        <w:t>à tous ceux qui souhaitent consolider leur connaissance sur la réglementation.</w:t>
      </w:r>
    </w:p>
    <w:p w:rsidR="006A1C2E" w:rsidRDefault="006A1C2E" w:rsidP="006A1C2E">
      <w:pPr>
        <w:jc w:val="both"/>
      </w:pPr>
    </w:p>
    <w:p w:rsidR="00C44074" w:rsidRDefault="00C44074" w:rsidP="00C44074">
      <w:pPr>
        <w:jc w:val="both"/>
      </w:pPr>
      <w:r>
        <w:t xml:space="preserve">Pour rappel, notre veille réglementaire </w:t>
      </w:r>
      <w:r w:rsidRPr="00457C1A">
        <w:t>est obtenue à partir des textes législatifs et réglementaires</w:t>
      </w:r>
      <w:r>
        <w:t>,</w:t>
      </w:r>
      <w:r w:rsidRPr="00457C1A">
        <w:t xml:space="preserve"> édités par </w:t>
      </w:r>
      <w:proofErr w:type="spellStart"/>
      <w:r w:rsidRPr="00E53CE0">
        <w:rPr>
          <w:i/>
        </w:rPr>
        <w:t>Legifrance</w:t>
      </w:r>
      <w:proofErr w:type="spellEnd"/>
      <w:r>
        <w:t>, le</w:t>
      </w:r>
      <w:r w:rsidRPr="00E53CE0">
        <w:rPr>
          <w:i/>
        </w:rPr>
        <w:t xml:space="preserve"> </w:t>
      </w:r>
      <w:r w:rsidRPr="00457C1A">
        <w:t>service public de la diffusion du droit par l'Internet.</w:t>
      </w:r>
      <w:r w:rsidR="00B11543">
        <w:t xml:space="preserve"> Elle ne fait l’objet d’aucune sous-traitance.</w:t>
      </w:r>
    </w:p>
    <w:p w:rsidR="00C44074" w:rsidRDefault="00C44074" w:rsidP="00C44074">
      <w:pPr>
        <w:jc w:val="both"/>
      </w:pPr>
    </w:p>
    <w:p w:rsidR="006A1C2E" w:rsidRDefault="00DC0BB1" w:rsidP="006A1C2E">
      <w:pPr>
        <w:jc w:val="both"/>
      </w:pPr>
      <w:r w:rsidRPr="00DC0BB1">
        <w:t>La</w:t>
      </w:r>
      <w:r w:rsidR="006A1C2E" w:rsidRPr="00DC0BB1">
        <w:t xml:space="preserve"> </w:t>
      </w:r>
      <w:r w:rsidR="006A1C2E">
        <w:t xml:space="preserve">réglementation est en permanente évolution, il peut arriver que certains textes présentés dans notre veille réglementaire aient déjà fait l’objet, dans l’entretemps, d’une modification : consultez toujours la dernière version en vigueur sur le site </w:t>
      </w:r>
      <w:hyperlink r:id="rId8" w:history="1">
        <w:r w:rsidR="006A1C2E" w:rsidRPr="00C12479">
          <w:rPr>
            <w:rStyle w:val="Lienhypertexte"/>
          </w:rPr>
          <w:t>www.legifrance.gouv.fr</w:t>
        </w:r>
      </w:hyperlink>
      <w:r w:rsidR="006A1C2E">
        <w:t>.</w:t>
      </w:r>
    </w:p>
    <w:p w:rsidR="006A1C2E" w:rsidRDefault="006A1C2E" w:rsidP="00EB5104">
      <w:pPr>
        <w:pStyle w:val="Textebrut"/>
      </w:pPr>
    </w:p>
    <w:p w:rsidR="00DC0BB1" w:rsidRDefault="00DC0BB1" w:rsidP="00EB5104">
      <w:pPr>
        <w:pStyle w:val="Textebrut"/>
      </w:pPr>
    </w:p>
    <w:p w:rsidR="00481309" w:rsidRDefault="00481309" w:rsidP="00EB5104">
      <w:pPr>
        <w:pStyle w:val="Textebrut"/>
      </w:pPr>
    </w:p>
    <w:sdt>
      <w:sdtPr>
        <w:rPr>
          <w:rFonts w:asciiTheme="minorHAnsi" w:eastAsiaTheme="minorHAnsi" w:hAnsiTheme="minorHAnsi" w:cstheme="minorBidi"/>
          <w:color w:val="auto"/>
          <w:sz w:val="22"/>
          <w:szCs w:val="22"/>
          <w:lang w:eastAsia="en-US"/>
        </w:rPr>
        <w:id w:val="-1808469591"/>
        <w:docPartObj>
          <w:docPartGallery w:val="Table of Contents"/>
          <w:docPartUnique/>
        </w:docPartObj>
      </w:sdtPr>
      <w:sdtEndPr>
        <w:rPr>
          <w:b/>
          <w:bCs/>
        </w:rPr>
      </w:sdtEndPr>
      <w:sdtContent>
        <w:p w:rsidR="00481309" w:rsidRDefault="00481309">
          <w:pPr>
            <w:pStyle w:val="En-ttedetabledesmatires"/>
          </w:pPr>
          <w:r>
            <w:t>Table des matières</w:t>
          </w:r>
        </w:p>
        <w:p w:rsidR="005A70CE" w:rsidRDefault="00481309">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236661802" w:history="1">
            <w:r w:rsidR="005A70CE" w:rsidRPr="001B7B96">
              <w:rPr>
                <w:rStyle w:val="Lienhypertexte"/>
                <w:noProof/>
              </w:rPr>
              <w:t>Agrément</w:t>
            </w:r>
            <w:r w:rsidR="005A70CE">
              <w:rPr>
                <w:noProof/>
                <w:webHidden/>
              </w:rPr>
              <w:tab/>
            </w:r>
            <w:r w:rsidR="005A70CE">
              <w:rPr>
                <w:noProof/>
                <w:webHidden/>
              </w:rPr>
              <w:fldChar w:fldCharType="begin"/>
            </w:r>
            <w:r w:rsidR="005A70CE">
              <w:rPr>
                <w:noProof/>
                <w:webHidden/>
              </w:rPr>
              <w:instrText xml:space="preserve"> PAGEREF _Toc236661802 \h </w:instrText>
            </w:r>
            <w:r w:rsidR="005A70CE">
              <w:rPr>
                <w:noProof/>
                <w:webHidden/>
              </w:rPr>
            </w:r>
            <w:r w:rsidR="005A70CE">
              <w:rPr>
                <w:noProof/>
                <w:webHidden/>
              </w:rPr>
              <w:fldChar w:fldCharType="separate"/>
            </w:r>
            <w:r w:rsidR="005A70CE">
              <w:rPr>
                <w:noProof/>
                <w:webHidden/>
              </w:rPr>
              <w:t>2</w:t>
            </w:r>
            <w:r w:rsidR="005A70CE">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03" w:history="1">
            <w:r w:rsidRPr="001B7B96">
              <w:rPr>
                <w:rStyle w:val="Lienhypertexte"/>
                <w:noProof/>
              </w:rPr>
              <w:t>Audit énergétique et Système de management de l’énergie</w:t>
            </w:r>
            <w:r>
              <w:rPr>
                <w:noProof/>
                <w:webHidden/>
              </w:rPr>
              <w:tab/>
            </w:r>
            <w:r>
              <w:rPr>
                <w:noProof/>
                <w:webHidden/>
              </w:rPr>
              <w:fldChar w:fldCharType="begin"/>
            </w:r>
            <w:r>
              <w:rPr>
                <w:noProof/>
                <w:webHidden/>
              </w:rPr>
              <w:instrText xml:space="preserve"> PAGEREF _Toc236661803 \h </w:instrText>
            </w:r>
            <w:r>
              <w:rPr>
                <w:noProof/>
                <w:webHidden/>
              </w:rPr>
            </w:r>
            <w:r>
              <w:rPr>
                <w:noProof/>
                <w:webHidden/>
              </w:rPr>
              <w:fldChar w:fldCharType="separate"/>
            </w:r>
            <w:r>
              <w:rPr>
                <w:noProof/>
                <w:webHidden/>
              </w:rPr>
              <w:t>2</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04" w:history="1">
            <w:r w:rsidRPr="001B7B96">
              <w:rPr>
                <w:rStyle w:val="Lienhypertexte"/>
                <w:noProof/>
              </w:rPr>
              <w:t>Autoconsommation collective</w:t>
            </w:r>
            <w:r>
              <w:rPr>
                <w:noProof/>
                <w:webHidden/>
              </w:rPr>
              <w:tab/>
            </w:r>
            <w:r>
              <w:rPr>
                <w:noProof/>
                <w:webHidden/>
              </w:rPr>
              <w:fldChar w:fldCharType="begin"/>
            </w:r>
            <w:r>
              <w:rPr>
                <w:noProof/>
                <w:webHidden/>
              </w:rPr>
              <w:instrText xml:space="preserve"> PAGEREF _Toc236661804 \h </w:instrText>
            </w:r>
            <w:r>
              <w:rPr>
                <w:noProof/>
                <w:webHidden/>
              </w:rPr>
            </w:r>
            <w:r>
              <w:rPr>
                <w:noProof/>
                <w:webHidden/>
              </w:rPr>
              <w:fldChar w:fldCharType="separate"/>
            </w:r>
            <w:r>
              <w:rPr>
                <w:noProof/>
                <w:webHidden/>
              </w:rPr>
              <w:t>2</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05" w:history="1">
            <w:r w:rsidRPr="001B7B96">
              <w:rPr>
                <w:rStyle w:val="Lienhypertexte"/>
                <w:noProof/>
              </w:rPr>
              <w:t>Certification professionnelle</w:t>
            </w:r>
            <w:r>
              <w:rPr>
                <w:noProof/>
                <w:webHidden/>
              </w:rPr>
              <w:tab/>
            </w:r>
            <w:r>
              <w:rPr>
                <w:noProof/>
                <w:webHidden/>
              </w:rPr>
              <w:fldChar w:fldCharType="begin"/>
            </w:r>
            <w:r>
              <w:rPr>
                <w:noProof/>
                <w:webHidden/>
              </w:rPr>
              <w:instrText xml:space="preserve"> PAGEREF _Toc236661805 \h </w:instrText>
            </w:r>
            <w:r>
              <w:rPr>
                <w:noProof/>
                <w:webHidden/>
              </w:rPr>
            </w:r>
            <w:r>
              <w:rPr>
                <w:noProof/>
                <w:webHidden/>
              </w:rPr>
              <w:fldChar w:fldCharType="separate"/>
            </w:r>
            <w:r>
              <w:rPr>
                <w:noProof/>
                <w:webHidden/>
              </w:rPr>
              <w:t>3</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06" w:history="1">
            <w:r w:rsidRPr="001B7B96">
              <w:rPr>
                <w:rStyle w:val="Lienhypertexte"/>
                <w:noProof/>
              </w:rPr>
              <w:t>Certificats d’économies d’énergie</w:t>
            </w:r>
            <w:r>
              <w:rPr>
                <w:noProof/>
                <w:webHidden/>
              </w:rPr>
              <w:tab/>
            </w:r>
            <w:r>
              <w:rPr>
                <w:noProof/>
                <w:webHidden/>
              </w:rPr>
              <w:fldChar w:fldCharType="begin"/>
            </w:r>
            <w:r>
              <w:rPr>
                <w:noProof/>
                <w:webHidden/>
              </w:rPr>
              <w:instrText xml:space="preserve"> PAGEREF _Toc236661806 \h </w:instrText>
            </w:r>
            <w:r>
              <w:rPr>
                <w:noProof/>
                <w:webHidden/>
              </w:rPr>
            </w:r>
            <w:r>
              <w:rPr>
                <w:noProof/>
                <w:webHidden/>
              </w:rPr>
              <w:fldChar w:fldCharType="separate"/>
            </w:r>
            <w:r>
              <w:rPr>
                <w:noProof/>
                <w:webHidden/>
              </w:rPr>
              <w:t>3</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07" w:history="1">
            <w:r w:rsidRPr="001B7B96">
              <w:rPr>
                <w:rStyle w:val="Lienhypertexte"/>
                <w:noProof/>
              </w:rPr>
              <w:t>Emissions de gaz à effet de serre</w:t>
            </w:r>
            <w:r>
              <w:rPr>
                <w:noProof/>
                <w:webHidden/>
              </w:rPr>
              <w:tab/>
            </w:r>
            <w:r>
              <w:rPr>
                <w:noProof/>
                <w:webHidden/>
              </w:rPr>
              <w:fldChar w:fldCharType="begin"/>
            </w:r>
            <w:r>
              <w:rPr>
                <w:noProof/>
                <w:webHidden/>
              </w:rPr>
              <w:instrText xml:space="preserve"> PAGEREF _Toc236661807 \h </w:instrText>
            </w:r>
            <w:r>
              <w:rPr>
                <w:noProof/>
                <w:webHidden/>
              </w:rPr>
            </w:r>
            <w:r>
              <w:rPr>
                <w:noProof/>
                <w:webHidden/>
              </w:rPr>
              <w:fldChar w:fldCharType="separate"/>
            </w:r>
            <w:r>
              <w:rPr>
                <w:noProof/>
                <w:webHidden/>
              </w:rPr>
              <w:t>4</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08" w:history="1">
            <w:r w:rsidRPr="001B7B96">
              <w:rPr>
                <w:rStyle w:val="Lienhypertexte"/>
                <w:noProof/>
              </w:rPr>
              <w:t>Environnement</w:t>
            </w:r>
            <w:r>
              <w:rPr>
                <w:noProof/>
                <w:webHidden/>
              </w:rPr>
              <w:tab/>
            </w:r>
            <w:r>
              <w:rPr>
                <w:noProof/>
                <w:webHidden/>
              </w:rPr>
              <w:fldChar w:fldCharType="begin"/>
            </w:r>
            <w:r>
              <w:rPr>
                <w:noProof/>
                <w:webHidden/>
              </w:rPr>
              <w:instrText xml:space="preserve"> PAGEREF _Toc236661808 \h </w:instrText>
            </w:r>
            <w:r>
              <w:rPr>
                <w:noProof/>
                <w:webHidden/>
              </w:rPr>
            </w:r>
            <w:r>
              <w:rPr>
                <w:noProof/>
                <w:webHidden/>
              </w:rPr>
              <w:fldChar w:fldCharType="separate"/>
            </w:r>
            <w:r>
              <w:rPr>
                <w:noProof/>
                <w:webHidden/>
              </w:rPr>
              <w:t>5</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09" w:history="1">
            <w:r w:rsidRPr="001B7B96">
              <w:rPr>
                <w:rStyle w:val="Lienhypertexte"/>
                <w:noProof/>
              </w:rPr>
              <w:t>Gestionnaires de réseaux de distribution d’électricité</w:t>
            </w:r>
            <w:r>
              <w:rPr>
                <w:noProof/>
                <w:webHidden/>
              </w:rPr>
              <w:tab/>
            </w:r>
            <w:r>
              <w:rPr>
                <w:noProof/>
                <w:webHidden/>
              </w:rPr>
              <w:fldChar w:fldCharType="begin"/>
            </w:r>
            <w:r>
              <w:rPr>
                <w:noProof/>
                <w:webHidden/>
              </w:rPr>
              <w:instrText xml:space="preserve"> PAGEREF _Toc236661809 \h </w:instrText>
            </w:r>
            <w:r>
              <w:rPr>
                <w:noProof/>
                <w:webHidden/>
              </w:rPr>
            </w:r>
            <w:r>
              <w:rPr>
                <w:noProof/>
                <w:webHidden/>
              </w:rPr>
              <w:fldChar w:fldCharType="separate"/>
            </w:r>
            <w:r>
              <w:rPr>
                <w:noProof/>
                <w:webHidden/>
              </w:rPr>
              <w:t>5</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10" w:history="1">
            <w:r w:rsidRPr="001B7B96">
              <w:rPr>
                <w:rStyle w:val="Lienhypertexte"/>
                <w:noProof/>
              </w:rPr>
              <w:t>Hydrogène</w:t>
            </w:r>
            <w:r>
              <w:rPr>
                <w:noProof/>
                <w:webHidden/>
              </w:rPr>
              <w:tab/>
            </w:r>
            <w:r>
              <w:rPr>
                <w:noProof/>
                <w:webHidden/>
              </w:rPr>
              <w:fldChar w:fldCharType="begin"/>
            </w:r>
            <w:r>
              <w:rPr>
                <w:noProof/>
                <w:webHidden/>
              </w:rPr>
              <w:instrText xml:space="preserve"> PAGEREF _Toc236661810 \h </w:instrText>
            </w:r>
            <w:r>
              <w:rPr>
                <w:noProof/>
                <w:webHidden/>
              </w:rPr>
            </w:r>
            <w:r>
              <w:rPr>
                <w:noProof/>
                <w:webHidden/>
              </w:rPr>
              <w:fldChar w:fldCharType="separate"/>
            </w:r>
            <w:r>
              <w:rPr>
                <w:noProof/>
                <w:webHidden/>
              </w:rPr>
              <w:t>5</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11" w:history="1">
            <w:r w:rsidRPr="001B7B96">
              <w:rPr>
                <w:rStyle w:val="Lienhypertexte"/>
                <w:noProof/>
              </w:rPr>
              <w:t>ICPE</w:t>
            </w:r>
            <w:r>
              <w:rPr>
                <w:noProof/>
                <w:webHidden/>
              </w:rPr>
              <w:tab/>
            </w:r>
            <w:r>
              <w:rPr>
                <w:noProof/>
                <w:webHidden/>
              </w:rPr>
              <w:fldChar w:fldCharType="begin"/>
            </w:r>
            <w:r>
              <w:rPr>
                <w:noProof/>
                <w:webHidden/>
              </w:rPr>
              <w:instrText xml:space="preserve"> PAGEREF _Toc236661811 \h </w:instrText>
            </w:r>
            <w:r>
              <w:rPr>
                <w:noProof/>
                <w:webHidden/>
              </w:rPr>
            </w:r>
            <w:r>
              <w:rPr>
                <w:noProof/>
                <w:webHidden/>
              </w:rPr>
              <w:fldChar w:fldCharType="separate"/>
            </w:r>
            <w:r>
              <w:rPr>
                <w:noProof/>
                <w:webHidden/>
              </w:rPr>
              <w:t>6</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12" w:history="1">
            <w:r w:rsidRPr="001B7B96">
              <w:rPr>
                <w:rStyle w:val="Lienhypertexte"/>
                <w:noProof/>
              </w:rPr>
              <w:t>Lutte contre la fraude</w:t>
            </w:r>
            <w:r>
              <w:rPr>
                <w:noProof/>
                <w:webHidden/>
              </w:rPr>
              <w:tab/>
            </w:r>
            <w:r>
              <w:rPr>
                <w:noProof/>
                <w:webHidden/>
              </w:rPr>
              <w:fldChar w:fldCharType="begin"/>
            </w:r>
            <w:r>
              <w:rPr>
                <w:noProof/>
                <w:webHidden/>
              </w:rPr>
              <w:instrText xml:space="preserve"> PAGEREF _Toc236661812 \h </w:instrText>
            </w:r>
            <w:r>
              <w:rPr>
                <w:noProof/>
                <w:webHidden/>
              </w:rPr>
            </w:r>
            <w:r>
              <w:rPr>
                <w:noProof/>
                <w:webHidden/>
              </w:rPr>
              <w:fldChar w:fldCharType="separate"/>
            </w:r>
            <w:r>
              <w:rPr>
                <w:noProof/>
                <w:webHidden/>
              </w:rPr>
              <w:t>6</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13" w:history="1">
            <w:r w:rsidRPr="001B7B96">
              <w:rPr>
                <w:rStyle w:val="Lienhypertexte"/>
                <w:noProof/>
              </w:rPr>
              <w:t>Pompes à chaleur</w:t>
            </w:r>
            <w:r>
              <w:rPr>
                <w:noProof/>
                <w:webHidden/>
              </w:rPr>
              <w:tab/>
            </w:r>
            <w:r>
              <w:rPr>
                <w:noProof/>
                <w:webHidden/>
              </w:rPr>
              <w:fldChar w:fldCharType="begin"/>
            </w:r>
            <w:r>
              <w:rPr>
                <w:noProof/>
                <w:webHidden/>
              </w:rPr>
              <w:instrText xml:space="preserve"> PAGEREF _Toc236661813 \h </w:instrText>
            </w:r>
            <w:r>
              <w:rPr>
                <w:noProof/>
                <w:webHidden/>
              </w:rPr>
            </w:r>
            <w:r>
              <w:rPr>
                <w:noProof/>
                <w:webHidden/>
              </w:rPr>
              <w:fldChar w:fldCharType="separate"/>
            </w:r>
            <w:r>
              <w:rPr>
                <w:noProof/>
                <w:webHidden/>
              </w:rPr>
              <w:t>7</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14" w:history="1">
            <w:r w:rsidRPr="001B7B96">
              <w:rPr>
                <w:rStyle w:val="Lienhypertexte"/>
                <w:noProof/>
              </w:rPr>
              <w:t>Produits de construction</w:t>
            </w:r>
            <w:r>
              <w:rPr>
                <w:noProof/>
                <w:webHidden/>
              </w:rPr>
              <w:tab/>
            </w:r>
            <w:r>
              <w:rPr>
                <w:noProof/>
                <w:webHidden/>
              </w:rPr>
              <w:fldChar w:fldCharType="begin"/>
            </w:r>
            <w:r>
              <w:rPr>
                <w:noProof/>
                <w:webHidden/>
              </w:rPr>
              <w:instrText xml:space="preserve"> PAGEREF _Toc236661814 \h </w:instrText>
            </w:r>
            <w:r>
              <w:rPr>
                <w:noProof/>
                <w:webHidden/>
              </w:rPr>
            </w:r>
            <w:r>
              <w:rPr>
                <w:noProof/>
                <w:webHidden/>
              </w:rPr>
              <w:fldChar w:fldCharType="separate"/>
            </w:r>
            <w:r>
              <w:rPr>
                <w:noProof/>
                <w:webHidden/>
              </w:rPr>
              <w:t>7</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15" w:history="1">
            <w:r w:rsidRPr="001B7B96">
              <w:rPr>
                <w:rStyle w:val="Lienhypertexte"/>
                <w:noProof/>
              </w:rPr>
              <w:t>Rénovation énergétique</w:t>
            </w:r>
            <w:r>
              <w:rPr>
                <w:noProof/>
                <w:webHidden/>
              </w:rPr>
              <w:tab/>
            </w:r>
            <w:r>
              <w:rPr>
                <w:noProof/>
                <w:webHidden/>
              </w:rPr>
              <w:fldChar w:fldCharType="begin"/>
            </w:r>
            <w:r>
              <w:rPr>
                <w:noProof/>
                <w:webHidden/>
              </w:rPr>
              <w:instrText xml:space="preserve"> PAGEREF _Toc236661815 \h </w:instrText>
            </w:r>
            <w:r>
              <w:rPr>
                <w:noProof/>
                <w:webHidden/>
              </w:rPr>
            </w:r>
            <w:r>
              <w:rPr>
                <w:noProof/>
                <w:webHidden/>
              </w:rPr>
              <w:fldChar w:fldCharType="separate"/>
            </w:r>
            <w:r>
              <w:rPr>
                <w:noProof/>
                <w:webHidden/>
              </w:rPr>
              <w:t>7</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16" w:history="1">
            <w:r w:rsidRPr="001B7B96">
              <w:rPr>
                <w:rStyle w:val="Lienhypertexte"/>
                <w:noProof/>
              </w:rPr>
              <w:t>Tarifs réglementés</w:t>
            </w:r>
            <w:r>
              <w:rPr>
                <w:noProof/>
                <w:webHidden/>
              </w:rPr>
              <w:tab/>
            </w:r>
            <w:r>
              <w:rPr>
                <w:noProof/>
                <w:webHidden/>
              </w:rPr>
              <w:fldChar w:fldCharType="begin"/>
            </w:r>
            <w:r>
              <w:rPr>
                <w:noProof/>
                <w:webHidden/>
              </w:rPr>
              <w:instrText xml:space="preserve"> PAGEREF _Toc236661816 \h </w:instrText>
            </w:r>
            <w:r>
              <w:rPr>
                <w:noProof/>
                <w:webHidden/>
              </w:rPr>
            </w:r>
            <w:r>
              <w:rPr>
                <w:noProof/>
                <w:webHidden/>
              </w:rPr>
              <w:fldChar w:fldCharType="separate"/>
            </w:r>
            <w:r>
              <w:rPr>
                <w:noProof/>
                <w:webHidden/>
              </w:rPr>
              <w:t>8</w:t>
            </w:r>
            <w:r>
              <w:rPr>
                <w:noProof/>
                <w:webHidden/>
              </w:rPr>
              <w:fldChar w:fldCharType="end"/>
            </w:r>
          </w:hyperlink>
        </w:p>
        <w:p w:rsidR="005A70CE" w:rsidRDefault="005A70CE">
          <w:pPr>
            <w:pStyle w:val="TM1"/>
            <w:tabs>
              <w:tab w:val="right" w:leader="dot" w:pos="9062"/>
            </w:tabs>
            <w:rPr>
              <w:rFonts w:eastAsiaTheme="minorEastAsia"/>
              <w:noProof/>
              <w:lang w:eastAsia="fr-FR"/>
            </w:rPr>
          </w:pPr>
          <w:hyperlink w:anchor="_Toc236661817" w:history="1">
            <w:r w:rsidRPr="001B7B96">
              <w:rPr>
                <w:rStyle w:val="Lienhypertexte"/>
                <w:noProof/>
              </w:rPr>
              <w:t>Transport</w:t>
            </w:r>
            <w:r>
              <w:rPr>
                <w:noProof/>
                <w:webHidden/>
              </w:rPr>
              <w:tab/>
            </w:r>
            <w:r>
              <w:rPr>
                <w:noProof/>
                <w:webHidden/>
              </w:rPr>
              <w:fldChar w:fldCharType="begin"/>
            </w:r>
            <w:r>
              <w:rPr>
                <w:noProof/>
                <w:webHidden/>
              </w:rPr>
              <w:instrText xml:space="preserve"> PAGEREF _Toc236661817 \h </w:instrText>
            </w:r>
            <w:r>
              <w:rPr>
                <w:noProof/>
                <w:webHidden/>
              </w:rPr>
            </w:r>
            <w:r>
              <w:rPr>
                <w:noProof/>
                <w:webHidden/>
              </w:rPr>
              <w:fldChar w:fldCharType="separate"/>
            </w:r>
            <w:r>
              <w:rPr>
                <w:noProof/>
                <w:webHidden/>
              </w:rPr>
              <w:t>9</w:t>
            </w:r>
            <w:r>
              <w:rPr>
                <w:noProof/>
                <w:webHidden/>
              </w:rPr>
              <w:fldChar w:fldCharType="end"/>
            </w:r>
          </w:hyperlink>
        </w:p>
        <w:p w:rsidR="00481309" w:rsidRDefault="00481309">
          <w:r>
            <w:rPr>
              <w:b/>
              <w:bCs/>
            </w:rPr>
            <w:fldChar w:fldCharType="end"/>
          </w:r>
        </w:p>
      </w:sdtContent>
    </w:sdt>
    <w:p w:rsidR="00A84207" w:rsidRDefault="00A84207">
      <w:pPr>
        <w:spacing w:after="160" w:line="259" w:lineRule="auto"/>
        <w:rPr>
          <w:rFonts w:ascii="Calibri" w:hAnsi="Calibri"/>
          <w:szCs w:val="21"/>
        </w:rPr>
      </w:pPr>
      <w:r>
        <w:br w:type="page"/>
      </w:r>
    </w:p>
    <w:p w:rsidR="003E2691" w:rsidRDefault="003E2691" w:rsidP="003E2691">
      <w:pPr>
        <w:pStyle w:val="Titre1"/>
      </w:pPr>
      <w:bookmarkStart w:id="1" w:name="_Toc236661802"/>
      <w:r>
        <w:lastRenderedPageBreak/>
        <w:t>Agrément</w:t>
      </w:r>
      <w:bookmarkEnd w:id="1"/>
      <w:r>
        <w:t xml:space="preserve"> </w:t>
      </w:r>
    </w:p>
    <w:p w:rsidR="003E2691" w:rsidRDefault="003E2691" w:rsidP="003E2691"/>
    <w:p w:rsidR="003E2691" w:rsidRPr="004850A0" w:rsidRDefault="003E2691" w:rsidP="003E2691">
      <w:pPr>
        <w:pBdr>
          <w:left w:val="single" w:sz="4" w:space="4" w:color="auto"/>
        </w:pBdr>
        <w:jc w:val="both"/>
        <w:rPr>
          <w:b/>
        </w:rPr>
      </w:pPr>
      <w:r w:rsidRPr="004850A0">
        <w:rPr>
          <w:b/>
        </w:rPr>
        <w:sym w:font="Wingdings" w:char="F0E8"/>
      </w:r>
      <w:r w:rsidRPr="004850A0">
        <w:rPr>
          <w:b/>
        </w:rPr>
        <w:t xml:space="preserve"> Agrément probatoire en qualité d’organisme de qualification accordé pour une durée d’un an à</w:t>
      </w:r>
      <w:r w:rsidR="00DD429A">
        <w:rPr>
          <w:b/>
        </w:rPr>
        <w:t xml:space="preserve"> l’association </w:t>
      </w:r>
      <w:r w:rsidRPr="004850A0">
        <w:rPr>
          <w:b/>
        </w:rPr>
        <w:t>Q</w:t>
      </w:r>
      <w:r>
        <w:rPr>
          <w:b/>
        </w:rPr>
        <w:t>UALI</w:t>
      </w:r>
      <w:r w:rsidR="0091047E">
        <w:rPr>
          <w:b/>
        </w:rPr>
        <w:t xml:space="preserve"> </w:t>
      </w:r>
      <w:r>
        <w:rPr>
          <w:b/>
        </w:rPr>
        <w:t>CLIMA</w:t>
      </w:r>
      <w:r w:rsidR="0091047E">
        <w:rPr>
          <w:b/>
        </w:rPr>
        <w:t xml:space="preserve"> </w:t>
      </w:r>
      <w:r>
        <w:rPr>
          <w:b/>
        </w:rPr>
        <w:t>FROID</w:t>
      </w:r>
    </w:p>
    <w:p w:rsidR="003E2691" w:rsidRDefault="003E2691" w:rsidP="003E2691">
      <w:pPr>
        <w:pBdr>
          <w:left w:val="single" w:sz="4" w:space="4" w:color="auto"/>
        </w:pBdr>
        <w:jc w:val="both"/>
      </w:pPr>
    </w:p>
    <w:p w:rsidR="003E2691" w:rsidRPr="00E065BC" w:rsidRDefault="003E2691" w:rsidP="003E2691">
      <w:pPr>
        <w:pBdr>
          <w:left w:val="single" w:sz="4" w:space="4" w:color="auto"/>
        </w:pBdr>
        <w:jc w:val="both"/>
        <w:rPr>
          <w:i/>
        </w:rPr>
      </w:pPr>
      <w:hyperlink r:id="rId9" w:history="1">
        <w:r w:rsidRPr="00E065BC">
          <w:rPr>
            <w:rStyle w:val="Lienhypertexte"/>
            <w:b/>
            <w:i/>
            <w:color w:val="auto"/>
          </w:rPr>
          <w:t>Arrêté du 12 juillet 2026</w:t>
        </w:r>
        <w:r w:rsidRPr="00E065BC">
          <w:rPr>
            <w:rStyle w:val="Lienhypertexte"/>
            <w:i/>
            <w:color w:val="auto"/>
          </w:rPr>
          <w:t xml:space="preserve"> portant agré</w:t>
        </w:r>
        <w:r w:rsidRPr="00E065BC">
          <w:rPr>
            <w:rStyle w:val="Lienhypertexte"/>
            <w:i/>
            <w:color w:val="auto"/>
          </w:rPr>
          <w:t>m</w:t>
        </w:r>
        <w:r w:rsidRPr="00E065BC">
          <w:rPr>
            <w:rStyle w:val="Lienhypertexte"/>
            <w:i/>
            <w:color w:val="auto"/>
          </w:rPr>
          <w:t>ent en qualité d'organisme de qualification en application de l'article R. 125-40 du code de la construction et de l'habitation.</w:t>
        </w:r>
      </w:hyperlink>
    </w:p>
    <w:p w:rsidR="003E2691" w:rsidRDefault="003E2691" w:rsidP="003E2691"/>
    <w:p w:rsidR="003E2691" w:rsidRDefault="003E2691" w:rsidP="003E2691"/>
    <w:p w:rsidR="00A82C7F" w:rsidRDefault="00A82C7F" w:rsidP="003E2691"/>
    <w:p w:rsidR="003E2691" w:rsidRPr="003E2691" w:rsidRDefault="003E2691" w:rsidP="003E2691">
      <w:pPr>
        <w:pBdr>
          <w:left w:val="single" w:sz="4" w:space="4" w:color="auto"/>
        </w:pBdr>
        <w:jc w:val="both"/>
        <w:rPr>
          <w:b/>
        </w:rPr>
      </w:pPr>
      <w:r w:rsidRPr="003E2691">
        <w:rPr>
          <w:b/>
        </w:rPr>
        <w:sym w:font="Wingdings" w:char="F0E8"/>
      </w:r>
      <w:r w:rsidRPr="003E2691">
        <w:rPr>
          <w:b/>
        </w:rPr>
        <w:t xml:space="preserve"> Agrément pour la réalisation des attestations relatives au respect des règles de construction, accordé pour une durée de 3 ans à </w:t>
      </w:r>
      <w:r>
        <w:rPr>
          <w:b/>
        </w:rPr>
        <w:t xml:space="preserve">la société </w:t>
      </w:r>
      <w:r w:rsidRPr="003E2691">
        <w:rPr>
          <w:b/>
        </w:rPr>
        <w:t>AMPLITUDE CONSEIL</w:t>
      </w:r>
    </w:p>
    <w:p w:rsidR="003E2691" w:rsidRDefault="003E2691" w:rsidP="003E2691">
      <w:pPr>
        <w:pBdr>
          <w:left w:val="single" w:sz="4" w:space="4" w:color="auto"/>
        </w:pBdr>
        <w:jc w:val="both"/>
      </w:pPr>
    </w:p>
    <w:p w:rsidR="003E2691" w:rsidRPr="005D3A57" w:rsidRDefault="003E2691" w:rsidP="003E2691">
      <w:pPr>
        <w:pBdr>
          <w:left w:val="single" w:sz="4" w:space="4" w:color="auto"/>
        </w:pBdr>
        <w:jc w:val="both"/>
        <w:rPr>
          <w:i/>
        </w:rPr>
      </w:pPr>
      <w:hyperlink r:id="rId10" w:history="1">
        <w:r w:rsidRPr="005D3A57">
          <w:rPr>
            <w:rStyle w:val="Lienhypertexte"/>
            <w:b/>
            <w:i/>
            <w:color w:val="auto"/>
          </w:rPr>
          <w:t>Décision du 27 juillet 2026</w:t>
        </w:r>
        <w:r w:rsidRPr="005D3A57">
          <w:rPr>
            <w:rStyle w:val="Lienhypertexte"/>
            <w:i/>
            <w:color w:val="auto"/>
          </w:rPr>
          <w:t xml:space="preserve"> portant agrément en qualité de bureau d'études.</w:t>
        </w:r>
      </w:hyperlink>
    </w:p>
    <w:p w:rsidR="003E2691" w:rsidRDefault="003E2691" w:rsidP="003E2691"/>
    <w:p w:rsidR="003E2691" w:rsidRDefault="003E2691" w:rsidP="003E2691"/>
    <w:p w:rsidR="00A82C7F" w:rsidRDefault="00A82C7F" w:rsidP="003E2691"/>
    <w:p w:rsidR="003E2691" w:rsidRPr="003E2691" w:rsidRDefault="003E2691" w:rsidP="003E2691">
      <w:pPr>
        <w:pBdr>
          <w:left w:val="single" w:sz="4" w:space="4" w:color="auto"/>
        </w:pBdr>
        <w:jc w:val="both"/>
        <w:rPr>
          <w:b/>
        </w:rPr>
      </w:pPr>
      <w:r w:rsidRPr="003E2691">
        <w:rPr>
          <w:b/>
        </w:rPr>
        <w:sym w:font="Wingdings" w:char="F0E8"/>
      </w:r>
      <w:r w:rsidRPr="003E2691">
        <w:rPr>
          <w:b/>
        </w:rPr>
        <w:t xml:space="preserve"> A</w:t>
      </w:r>
      <w:r w:rsidRPr="003E2691">
        <w:rPr>
          <w:b/>
        </w:rPr>
        <w:t>grément pour la réalisation des</w:t>
      </w:r>
      <w:r w:rsidRPr="003E2691">
        <w:rPr>
          <w:b/>
        </w:rPr>
        <w:t xml:space="preserve"> </w:t>
      </w:r>
      <w:r w:rsidRPr="003E2691">
        <w:rPr>
          <w:b/>
        </w:rPr>
        <w:t>attestations relatives au respect des règles de construction</w:t>
      </w:r>
      <w:r w:rsidRPr="003E2691">
        <w:rPr>
          <w:b/>
        </w:rPr>
        <w:t xml:space="preserve">, </w:t>
      </w:r>
      <w:r w:rsidRPr="003E2691">
        <w:rPr>
          <w:b/>
        </w:rPr>
        <w:t xml:space="preserve">accordé pour une durée de 12 mois </w:t>
      </w:r>
      <w:r w:rsidRPr="003E2691">
        <w:rPr>
          <w:b/>
        </w:rPr>
        <w:t xml:space="preserve">à </w:t>
      </w:r>
      <w:r>
        <w:rPr>
          <w:b/>
        </w:rPr>
        <w:t xml:space="preserve">la société </w:t>
      </w:r>
      <w:r w:rsidRPr="003E2691">
        <w:rPr>
          <w:b/>
        </w:rPr>
        <w:t>AVENIR ET PERFORMANCE DU BATIMENT</w:t>
      </w:r>
    </w:p>
    <w:p w:rsidR="003E2691" w:rsidRDefault="003E2691" w:rsidP="003E2691">
      <w:pPr>
        <w:pBdr>
          <w:left w:val="single" w:sz="4" w:space="4" w:color="auto"/>
        </w:pBdr>
        <w:jc w:val="both"/>
      </w:pPr>
    </w:p>
    <w:p w:rsidR="003E2691" w:rsidRPr="003E2691" w:rsidRDefault="003E2691" w:rsidP="003E2691">
      <w:pPr>
        <w:pBdr>
          <w:left w:val="single" w:sz="4" w:space="4" w:color="auto"/>
        </w:pBdr>
        <w:jc w:val="both"/>
        <w:rPr>
          <w:i/>
        </w:rPr>
      </w:pPr>
      <w:hyperlink r:id="rId11" w:history="1">
        <w:r w:rsidRPr="003E2691">
          <w:rPr>
            <w:rStyle w:val="Lienhypertexte"/>
            <w:b/>
            <w:i/>
            <w:color w:val="auto"/>
          </w:rPr>
          <w:t>Décision du 27 juillet 2026</w:t>
        </w:r>
        <w:r w:rsidRPr="003E2691">
          <w:rPr>
            <w:rStyle w:val="Lienhypertexte"/>
            <w:i/>
            <w:color w:val="auto"/>
          </w:rPr>
          <w:t xml:space="preserve"> portant agrément en qualité de bureau d'études.</w:t>
        </w:r>
      </w:hyperlink>
    </w:p>
    <w:p w:rsidR="003E2691" w:rsidRDefault="003E2691" w:rsidP="003E2691"/>
    <w:p w:rsidR="00A82C7F" w:rsidRDefault="00A82C7F" w:rsidP="003E2691"/>
    <w:p w:rsidR="00A82C7F" w:rsidRDefault="00A82C7F" w:rsidP="003E2691"/>
    <w:p w:rsidR="003E2691" w:rsidRPr="003E2691" w:rsidRDefault="003E2691" w:rsidP="003E2691">
      <w:pPr>
        <w:pBdr>
          <w:left w:val="single" w:sz="4" w:space="4" w:color="auto"/>
        </w:pBdr>
        <w:jc w:val="both"/>
        <w:rPr>
          <w:b/>
        </w:rPr>
      </w:pPr>
      <w:r w:rsidRPr="003E2691">
        <w:rPr>
          <w:b/>
        </w:rPr>
        <w:sym w:font="Wingdings" w:char="F0E8"/>
      </w:r>
      <w:r w:rsidRPr="003E2691">
        <w:rPr>
          <w:b/>
        </w:rPr>
        <w:t xml:space="preserve"> A</w:t>
      </w:r>
      <w:r w:rsidRPr="003E2691">
        <w:rPr>
          <w:b/>
        </w:rPr>
        <w:t>grément pour la réalisation des</w:t>
      </w:r>
      <w:r w:rsidRPr="003E2691">
        <w:rPr>
          <w:b/>
        </w:rPr>
        <w:t xml:space="preserve"> </w:t>
      </w:r>
      <w:r w:rsidRPr="003E2691">
        <w:rPr>
          <w:b/>
        </w:rPr>
        <w:t>attestations relatives au respect des règles de construction</w:t>
      </w:r>
      <w:r w:rsidRPr="003E2691">
        <w:rPr>
          <w:b/>
        </w:rPr>
        <w:t xml:space="preserve">, </w:t>
      </w:r>
      <w:r w:rsidRPr="003E2691">
        <w:rPr>
          <w:b/>
        </w:rPr>
        <w:t>accordé pour une durée de 3 ans</w:t>
      </w:r>
      <w:r w:rsidRPr="003E2691">
        <w:rPr>
          <w:b/>
        </w:rPr>
        <w:t xml:space="preserve"> à la société </w:t>
      </w:r>
      <w:r w:rsidRPr="003E2691">
        <w:rPr>
          <w:b/>
        </w:rPr>
        <w:t>LESLIE</w:t>
      </w:r>
    </w:p>
    <w:p w:rsidR="003E2691" w:rsidRDefault="003E2691" w:rsidP="003E2691">
      <w:pPr>
        <w:pBdr>
          <w:left w:val="single" w:sz="4" w:space="4" w:color="auto"/>
        </w:pBdr>
        <w:jc w:val="both"/>
      </w:pPr>
    </w:p>
    <w:p w:rsidR="003E2691" w:rsidRPr="003E2691" w:rsidRDefault="003E2691" w:rsidP="003E2691">
      <w:pPr>
        <w:pBdr>
          <w:left w:val="single" w:sz="4" w:space="4" w:color="auto"/>
        </w:pBdr>
        <w:jc w:val="both"/>
        <w:rPr>
          <w:i/>
        </w:rPr>
      </w:pPr>
      <w:hyperlink r:id="rId12" w:history="1">
        <w:r w:rsidRPr="003E2691">
          <w:rPr>
            <w:rStyle w:val="Lienhypertexte"/>
            <w:b/>
            <w:i/>
            <w:color w:val="auto"/>
          </w:rPr>
          <w:t>Décision du 27 juillet 2026</w:t>
        </w:r>
        <w:r w:rsidRPr="003E2691">
          <w:rPr>
            <w:rStyle w:val="Lienhypertexte"/>
            <w:i/>
            <w:color w:val="auto"/>
          </w:rPr>
          <w:t xml:space="preserve"> portant agrément en qualité de bureau d'études.</w:t>
        </w:r>
      </w:hyperlink>
    </w:p>
    <w:p w:rsidR="003E2691" w:rsidRDefault="003E2691" w:rsidP="003E2691"/>
    <w:p w:rsidR="003E2691" w:rsidRDefault="003E2691" w:rsidP="003E2691"/>
    <w:p w:rsidR="00A82C7F" w:rsidRDefault="00A82C7F" w:rsidP="003E2691"/>
    <w:p w:rsidR="008B6AE3" w:rsidRDefault="008B6AE3" w:rsidP="000E6286">
      <w:pPr>
        <w:pStyle w:val="Titre1"/>
      </w:pPr>
      <w:bookmarkStart w:id="2" w:name="_Toc236661803"/>
      <w:r>
        <w:t>Audit énergétique et Système de management de l’énergie</w:t>
      </w:r>
      <w:bookmarkEnd w:id="2"/>
    </w:p>
    <w:p w:rsidR="008B6AE3" w:rsidRDefault="008B6AE3" w:rsidP="008B6AE3"/>
    <w:p w:rsidR="008B6AE3" w:rsidRPr="008B6AE3" w:rsidRDefault="008B6AE3" w:rsidP="00382328">
      <w:pPr>
        <w:pBdr>
          <w:left w:val="single" w:sz="4" w:space="4" w:color="auto"/>
        </w:pBdr>
        <w:jc w:val="both"/>
        <w:rPr>
          <w:b/>
        </w:rPr>
      </w:pPr>
      <w:r w:rsidRPr="008B6AE3">
        <w:rPr>
          <w:b/>
        </w:rPr>
        <w:sym w:font="Wingdings" w:char="F0E8"/>
      </w:r>
      <w:r w:rsidRPr="008B6AE3">
        <w:rPr>
          <w:b/>
        </w:rPr>
        <w:t xml:space="preserve"> Plateforme informatique prévue pour la transmission des informations relatives à la mise en œuvre des obligations prévues au I de l’article L. 233-1 du code l’énergie</w:t>
      </w:r>
    </w:p>
    <w:p w:rsidR="008B6AE3" w:rsidRDefault="008B6AE3" w:rsidP="00382328">
      <w:pPr>
        <w:pBdr>
          <w:left w:val="single" w:sz="4" w:space="4" w:color="auto"/>
        </w:pBdr>
      </w:pPr>
    </w:p>
    <w:p w:rsidR="008B6AE3" w:rsidRDefault="00382328" w:rsidP="00382328">
      <w:pPr>
        <w:pBdr>
          <w:left w:val="single" w:sz="4" w:space="4" w:color="auto"/>
        </w:pBdr>
        <w:jc w:val="both"/>
      </w:pPr>
      <w:r>
        <w:t xml:space="preserve">Le présent arrêté précise la </w:t>
      </w:r>
      <w:r w:rsidR="008B6AE3">
        <w:t>modification des données à renseigner, des catégories d’utilisateur et des restrictions d’accès</w:t>
      </w:r>
      <w:r>
        <w:t xml:space="preserve"> </w:t>
      </w:r>
      <w:r w:rsidR="008B6AE3">
        <w:t>nécessaires à la protection de la confidentialité des données de la plateforme informatique prévue pour la</w:t>
      </w:r>
      <w:r>
        <w:t xml:space="preserve"> </w:t>
      </w:r>
      <w:r w:rsidR="008B6AE3">
        <w:t>transmission des informations relatives à la mise en œuvre des</w:t>
      </w:r>
      <w:r>
        <w:t xml:space="preserve"> </w:t>
      </w:r>
      <w:r w:rsidR="008B6AE3">
        <w:t>obligations prévues au I de l’article L. 233-1 du</w:t>
      </w:r>
      <w:r>
        <w:t xml:space="preserve"> </w:t>
      </w:r>
      <w:r w:rsidR="008B6AE3">
        <w:t>code l’énergie.</w:t>
      </w:r>
    </w:p>
    <w:p w:rsidR="008B6AE3" w:rsidRDefault="008B6AE3" w:rsidP="00382328">
      <w:pPr>
        <w:pBdr>
          <w:left w:val="single" w:sz="4" w:space="4" w:color="auto"/>
        </w:pBdr>
      </w:pPr>
    </w:p>
    <w:p w:rsidR="008B6AE3" w:rsidRPr="008B6AE3" w:rsidRDefault="005A70CE" w:rsidP="00382328">
      <w:pPr>
        <w:pBdr>
          <w:left w:val="single" w:sz="4" w:space="4" w:color="auto"/>
        </w:pBdr>
        <w:jc w:val="both"/>
        <w:rPr>
          <w:i/>
        </w:rPr>
      </w:pPr>
      <w:hyperlink r:id="rId13" w:history="1">
        <w:r w:rsidR="008B6AE3" w:rsidRPr="008B6AE3">
          <w:rPr>
            <w:rStyle w:val="Lienhypertexte"/>
            <w:b/>
            <w:i/>
            <w:color w:val="auto"/>
          </w:rPr>
          <w:t>Arrêté du 2 juillet 2026</w:t>
        </w:r>
        <w:r w:rsidR="008B6AE3" w:rsidRPr="008B6AE3">
          <w:rPr>
            <w:rStyle w:val="Lienhypertexte"/>
            <w:i/>
            <w:color w:val="auto"/>
          </w:rPr>
          <w:t xml:space="preserve"> modifiant l'arrêté du 20 mai 2016 relatif aux données à renseigner et aux catégories d'utilisateur concernant la plate-forme informatique prévue par l'article L. 233-1 du code de l'énergie.</w:t>
        </w:r>
      </w:hyperlink>
    </w:p>
    <w:p w:rsidR="008B6AE3" w:rsidRDefault="008B6AE3" w:rsidP="008B6AE3"/>
    <w:p w:rsidR="008B6AE3" w:rsidRDefault="008B6AE3" w:rsidP="008B6AE3"/>
    <w:p w:rsidR="00A82C7F" w:rsidRDefault="00A82C7F" w:rsidP="008B6AE3"/>
    <w:p w:rsidR="008B6AE3" w:rsidRDefault="00BE7308" w:rsidP="00BE7308">
      <w:pPr>
        <w:pStyle w:val="Titre1"/>
      </w:pPr>
      <w:bookmarkStart w:id="3" w:name="_Toc236661804"/>
      <w:r>
        <w:t>Autoconsommation collective</w:t>
      </w:r>
      <w:bookmarkEnd w:id="3"/>
    </w:p>
    <w:p w:rsidR="008B6AE3" w:rsidRDefault="008B6AE3" w:rsidP="008B6AE3"/>
    <w:p w:rsidR="00BE7308" w:rsidRPr="00BE7308" w:rsidRDefault="00BE7308" w:rsidP="00BE7308">
      <w:pPr>
        <w:pBdr>
          <w:left w:val="single" w:sz="4" w:space="4" w:color="auto"/>
        </w:pBdr>
        <w:jc w:val="both"/>
        <w:rPr>
          <w:b/>
        </w:rPr>
      </w:pPr>
      <w:r w:rsidRPr="00BE7308">
        <w:rPr>
          <w:b/>
        </w:rPr>
        <w:lastRenderedPageBreak/>
        <w:sym w:font="Wingdings" w:char="F0E8"/>
      </w:r>
      <w:r w:rsidRPr="00BE7308">
        <w:rPr>
          <w:b/>
        </w:rPr>
        <w:t xml:space="preserve"> Rectificatif au Journal officiel n°151 du 30 juin 2026, texte n°14</w:t>
      </w:r>
    </w:p>
    <w:p w:rsidR="00BE7308" w:rsidRDefault="00BE7308" w:rsidP="00BE7308">
      <w:pPr>
        <w:pBdr>
          <w:left w:val="single" w:sz="4" w:space="4" w:color="auto"/>
        </w:pBdr>
        <w:jc w:val="both"/>
      </w:pPr>
    </w:p>
    <w:p w:rsidR="00BE7308" w:rsidRPr="00BE7308" w:rsidRDefault="005A70CE" w:rsidP="00BE7308">
      <w:pPr>
        <w:pStyle w:val="Textebrut"/>
        <w:pBdr>
          <w:left w:val="single" w:sz="4" w:space="4" w:color="auto"/>
        </w:pBdr>
        <w:jc w:val="both"/>
        <w:rPr>
          <w:i/>
        </w:rPr>
      </w:pPr>
      <w:hyperlink r:id="rId14" w:history="1">
        <w:r w:rsidR="00BE7308" w:rsidRPr="00BE7308">
          <w:rPr>
            <w:rStyle w:val="Lienhypertexte"/>
            <w:b/>
            <w:i/>
            <w:color w:val="auto"/>
          </w:rPr>
          <w:t xml:space="preserve">Décret n° 2026-561 du 26 juin 2026 </w:t>
        </w:r>
        <w:r w:rsidR="00BE7308" w:rsidRPr="00BE7308">
          <w:rPr>
            <w:rStyle w:val="Lienhypertexte"/>
            <w:i/>
            <w:color w:val="auto"/>
          </w:rPr>
          <w:t>relatif aux règles de répartition de l'énergie au sein d'une opération d'autoconsommation collective (rectificatif).</w:t>
        </w:r>
      </w:hyperlink>
    </w:p>
    <w:p w:rsidR="00BE7308" w:rsidRDefault="00BE7308" w:rsidP="00BE7308">
      <w:pPr>
        <w:pStyle w:val="Textebrut"/>
      </w:pPr>
    </w:p>
    <w:p w:rsidR="00BE7308" w:rsidRDefault="00BE7308" w:rsidP="00BE7308">
      <w:pPr>
        <w:pStyle w:val="Textebrut"/>
      </w:pPr>
    </w:p>
    <w:p w:rsidR="008B6AE3" w:rsidRDefault="008B6AE3" w:rsidP="008B6AE3"/>
    <w:p w:rsidR="000E6286" w:rsidRDefault="000E6286" w:rsidP="000E6286">
      <w:pPr>
        <w:pStyle w:val="Titre1"/>
      </w:pPr>
      <w:bookmarkStart w:id="4" w:name="_Toc236661805"/>
      <w:r>
        <w:t>Certification professionnelle</w:t>
      </w:r>
      <w:bookmarkEnd w:id="4"/>
    </w:p>
    <w:p w:rsidR="000E6286" w:rsidRDefault="000E6286" w:rsidP="000E6286">
      <w:pPr>
        <w:jc w:val="both"/>
      </w:pPr>
    </w:p>
    <w:p w:rsidR="006B2E06" w:rsidRPr="006B2E06" w:rsidRDefault="006B2E06" w:rsidP="006B2E06">
      <w:pPr>
        <w:pBdr>
          <w:left w:val="single" w:sz="4" w:space="4" w:color="auto"/>
        </w:pBdr>
        <w:jc w:val="both"/>
        <w:rPr>
          <w:b/>
        </w:rPr>
      </w:pPr>
      <w:r w:rsidRPr="006B2E06">
        <w:rPr>
          <w:b/>
        </w:rPr>
        <w:sym w:font="Wingdings" w:char="F0E8"/>
      </w:r>
      <w:r w:rsidRPr="006B2E06">
        <w:rPr>
          <w:b/>
        </w:rPr>
        <w:t xml:space="preserve"> Révision du titre professionnel de conducteur d’engins de chantiers urbains</w:t>
      </w:r>
    </w:p>
    <w:p w:rsidR="006B2E06" w:rsidRDefault="006B2E06" w:rsidP="006B2E06">
      <w:pPr>
        <w:pBdr>
          <w:left w:val="single" w:sz="4" w:space="4" w:color="auto"/>
        </w:pBdr>
        <w:jc w:val="both"/>
      </w:pPr>
    </w:p>
    <w:p w:rsidR="006B2E06" w:rsidRPr="006B2E06" w:rsidRDefault="006B2E06" w:rsidP="006B2E06">
      <w:pPr>
        <w:pStyle w:val="Textebrut"/>
        <w:pBdr>
          <w:left w:val="single" w:sz="4" w:space="4" w:color="auto"/>
        </w:pBdr>
        <w:jc w:val="both"/>
        <w:rPr>
          <w:i/>
        </w:rPr>
      </w:pPr>
      <w:hyperlink r:id="rId15" w:history="1">
        <w:r w:rsidRPr="006B2E06">
          <w:rPr>
            <w:rStyle w:val="Lienhypertexte"/>
            <w:b/>
            <w:i/>
            <w:color w:val="auto"/>
          </w:rPr>
          <w:t>Arrêté du 9 juillet 2026</w:t>
        </w:r>
        <w:r w:rsidRPr="006B2E06">
          <w:rPr>
            <w:rStyle w:val="Lienhypertexte"/>
            <w:i/>
            <w:color w:val="auto"/>
          </w:rPr>
          <w:t xml:space="preserve"> relatif au titre professionnel de conducteur d'engins de chantiers urbains.</w:t>
        </w:r>
      </w:hyperlink>
    </w:p>
    <w:p w:rsidR="006B2E06" w:rsidRDefault="006B2E06" w:rsidP="006B2E06">
      <w:pPr>
        <w:pStyle w:val="Textebrut"/>
        <w:jc w:val="both"/>
      </w:pPr>
    </w:p>
    <w:p w:rsidR="006B2E06" w:rsidRDefault="006B2E06" w:rsidP="006B2E06">
      <w:pPr>
        <w:pStyle w:val="Textebrut"/>
        <w:jc w:val="both"/>
      </w:pPr>
    </w:p>
    <w:p w:rsidR="006B2E06" w:rsidRDefault="006B2E06" w:rsidP="006B2E06">
      <w:pPr>
        <w:pStyle w:val="Textebrut"/>
        <w:jc w:val="both"/>
      </w:pPr>
    </w:p>
    <w:p w:rsidR="006B2E06" w:rsidRPr="006B2E06" w:rsidRDefault="006B2E06" w:rsidP="006B2E06">
      <w:pPr>
        <w:pStyle w:val="Textebrut"/>
        <w:pBdr>
          <w:left w:val="single" w:sz="4" w:space="4" w:color="auto"/>
        </w:pBdr>
        <w:jc w:val="both"/>
        <w:rPr>
          <w:b/>
        </w:rPr>
      </w:pPr>
      <w:r w:rsidRPr="006B2E06">
        <w:rPr>
          <w:b/>
        </w:rPr>
        <w:sym w:font="Wingdings" w:char="F0E8"/>
      </w:r>
      <w:r w:rsidRPr="006B2E06">
        <w:rPr>
          <w:b/>
        </w:rPr>
        <w:t xml:space="preserve"> Révision du t</w:t>
      </w:r>
      <w:r w:rsidRPr="006B2E06">
        <w:rPr>
          <w:b/>
        </w:rPr>
        <w:t>itre professionnel de conducteur d’engins de grands terrassements</w:t>
      </w:r>
    </w:p>
    <w:p w:rsidR="006B2E06" w:rsidRDefault="006B2E06" w:rsidP="006B2E06">
      <w:pPr>
        <w:pStyle w:val="Textebrut"/>
        <w:pBdr>
          <w:left w:val="single" w:sz="4" w:space="4" w:color="auto"/>
        </w:pBdr>
        <w:jc w:val="both"/>
      </w:pPr>
    </w:p>
    <w:p w:rsidR="006B2E06" w:rsidRPr="006B2E06" w:rsidRDefault="006B2E06" w:rsidP="006B2E06">
      <w:pPr>
        <w:pStyle w:val="Textebrut"/>
        <w:pBdr>
          <w:left w:val="single" w:sz="4" w:space="4" w:color="auto"/>
        </w:pBdr>
        <w:jc w:val="both"/>
        <w:rPr>
          <w:i/>
        </w:rPr>
      </w:pPr>
      <w:hyperlink r:id="rId16" w:history="1">
        <w:r w:rsidRPr="006B2E06">
          <w:rPr>
            <w:rStyle w:val="Lienhypertexte"/>
            <w:i/>
            <w:color w:val="auto"/>
          </w:rPr>
          <w:t xml:space="preserve"> </w:t>
        </w:r>
        <w:r w:rsidRPr="006B2E06">
          <w:rPr>
            <w:rStyle w:val="Lienhypertexte"/>
            <w:b/>
            <w:i/>
            <w:color w:val="auto"/>
          </w:rPr>
          <w:t>Arrêté du 9 juillet 2026</w:t>
        </w:r>
        <w:r w:rsidRPr="006B2E06">
          <w:rPr>
            <w:rStyle w:val="Lienhypertexte"/>
            <w:i/>
            <w:color w:val="auto"/>
          </w:rPr>
          <w:t xml:space="preserve"> relatif au titre professionnel de conducteur d'engins de grands terrassements.</w:t>
        </w:r>
      </w:hyperlink>
    </w:p>
    <w:p w:rsidR="006B2E06" w:rsidRDefault="006B2E06" w:rsidP="006B2E06">
      <w:pPr>
        <w:pStyle w:val="Textebrut"/>
      </w:pPr>
    </w:p>
    <w:p w:rsidR="00077DC6" w:rsidRDefault="00077DC6" w:rsidP="00077DC6">
      <w:pPr>
        <w:jc w:val="both"/>
      </w:pPr>
    </w:p>
    <w:p w:rsidR="000E6286" w:rsidRDefault="000E6286" w:rsidP="000E6286">
      <w:pPr>
        <w:jc w:val="both"/>
      </w:pPr>
    </w:p>
    <w:p w:rsidR="00EF29B5" w:rsidRPr="00EF29B5" w:rsidRDefault="00EF29B5" w:rsidP="00EF29B5">
      <w:pPr>
        <w:pStyle w:val="Titre1"/>
      </w:pPr>
      <w:bookmarkStart w:id="5" w:name="_Toc236661806"/>
      <w:r w:rsidRPr="00EF29B5">
        <w:t>Certificats d’économies d’énergie</w:t>
      </w:r>
      <w:bookmarkEnd w:id="5"/>
    </w:p>
    <w:p w:rsidR="00EF29B5" w:rsidRDefault="00EF29B5" w:rsidP="00EF29B5">
      <w:pPr>
        <w:jc w:val="both"/>
      </w:pPr>
    </w:p>
    <w:p w:rsidR="00A43048" w:rsidRPr="00596054" w:rsidRDefault="00A43048" w:rsidP="00596054">
      <w:pPr>
        <w:pBdr>
          <w:left w:val="single" w:sz="4" w:space="4" w:color="auto"/>
        </w:pBdr>
        <w:jc w:val="both"/>
        <w:rPr>
          <w:b/>
        </w:rPr>
      </w:pPr>
      <w:r w:rsidRPr="00596054">
        <w:rPr>
          <w:b/>
        </w:rPr>
        <w:sym w:font="Wingdings" w:char="F0E8"/>
      </w:r>
      <w:r w:rsidRPr="00596054">
        <w:rPr>
          <w:b/>
        </w:rPr>
        <w:t xml:space="preserve"> </w:t>
      </w:r>
      <w:r w:rsidR="00401B8C" w:rsidRPr="00596054">
        <w:rPr>
          <w:b/>
        </w:rPr>
        <w:t>Modification des niveaux de bonifications de la fiche d’opération standardisée TRA-EQ-117 et</w:t>
      </w:r>
      <w:r w:rsidR="00596054">
        <w:rPr>
          <w:b/>
        </w:rPr>
        <w:t xml:space="preserve"> d</w:t>
      </w:r>
      <w:r w:rsidR="00401B8C" w:rsidRPr="00596054">
        <w:rPr>
          <w:b/>
        </w:rPr>
        <w:t>éfini</w:t>
      </w:r>
      <w:r w:rsidR="00596054" w:rsidRPr="00596054">
        <w:rPr>
          <w:b/>
        </w:rPr>
        <w:t>tion d</w:t>
      </w:r>
      <w:r w:rsidR="00401B8C" w:rsidRPr="00596054">
        <w:rPr>
          <w:b/>
        </w:rPr>
        <w:t>es plafonds de revenus des déciles de revenus utilisés pour les opérations du secteur des</w:t>
      </w:r>
      <w:r w:rsidR="00596054">
        <w:rPr>
          <w:b/>
        </w:rPr>
        <w:t xml:space="preserve"> t</w:t>
      </w:r>
      <w:r w:rsidR="00401B8C" w:rsidRPr="00596054">
        <w:rPr>
          <w:b/>
        </w:rPr>
        <w:t>ransports</w:t>
      </w:r>
      <w:r w:rsidR="00596054">
        <w:rPr>
          <w:b/>
        </w:rPr>
        <w:t>.</w:t>
      </w:r>
    </w:p>
    <w:p w:rsidR="00A43048" w:rsidRDefault="00A43048" w:rsidP="00596054">
      <w:pPr>
        <w:pBdr>
          <w:left w:val="single" w:sz="4" w:space="4" w:color="auto"/>
        </w:pBdr>
        <w:jc w:val="both"/>
      </w:pPr>
    </w:p>
    <w:p w:rsidR="00401B8C" w:rsidRDefault="00401B8C" w:rsidP="00596054">
      <w:pPr>
        <w:pBdr>
          <w:left w:val="single" w:sz="4" w:space="4" w:color="auto"/>
        </w:pBdr>
        <w:jc w:val="both"/>
      </w:pPr>
      <w:r>
        <w:t>Le présent arrêté modifie les niveaux de bonifications de la fiche d’opération standardisée TRA-EQ-117 et définit les plafonds de revenus des déciles de revenus qui seront utilisés pour les opérations du secteur des transports. Il révise les conditions d’éligibilité des véhicules aux bonifications des fiches d’opérations standardisées pour l’acquisition de véhicules électriques (TRA-EQ-114, TRA-EQ-117 et TRA-EQ-129) en précisant le cas d’une multiplicité des sites de fabrication des véhicules d’un même type-variante.</w:t>
      </w:r>
    </w:p>
    <w:p w:rsidR="00401B8C" w:rsidRPr="00EF29B5" w:rsidRDefault="00401B8C" w:rsidP="00596054">
      <w:pPr>
        <w:pBdr>
          <w:left w:val="single" w:sz="4" w:space="4" w:color="auto"/>
        </w:pBdr>
        <w:jc w:val="both"/>
      </w:pPr>
    </w:p>
    <w:p w:rsidR="00A43048" w:rsidRPr="00A43048" w:rsidRDefault="005A70CE" w:rsidP="00596054">
      <w:pPr>
        <w:pStyle w:val="Textebrut"/>
        <w:pBdr>
          <w:left w:val="single" w:sz="4" w:space="4" w:color="auto"/>
        </w:pBdr>
        <w:jc w:val="both"/>
        <w:rPr>
          <w:i/>
        </w:rPr>
      </w:pPr>
      <w:hyperlink r:id="rId17" w:history="1">
        <w:r w:rsidR="00A43048" w:rsidRPr="00A43048">
          <w:rPr>
            <w:rStyle w:val="Lienhypertexte"/>
            <w:b/>
            <w:i/>
            <w:color w:val="auto"/>
          </w:rPr>
          <w:t>Arrêté du 16 juillet 2026</w:t>
        </w:r>
        <w:r w:rsidR="00A43048" w:rsidRPr="00A43048">
          <w:rPr>
            <w:rStyle w:val="Lienhypertexte"/>
            <w:i/>
            <w:color w:val="auto"/>
          </w:rPr>
          <w:t xml:space="preserve"> modifiant les niveaux de bonification de la fiche d'opération standardisée TRA-EQ-117 et fixant les plafonds de revenus des déciles de revenus pour les opérations du secteur des transports.</w:t>
        </w:r>
      </w:hyperlink>
    </w:p>
    <w:p w:rsidR="00B65D9B" w:rsidRPr="00B65D9B" w:rsidRDefault="00A43048" w:rsidP="00B65D9B">
      <w:pPr>
        <w:pBdr>
          <w:left w:val="single" w:sz="4" w:space="4" w:color="auto"/>
        </w:pBdr>
        <w:jc w:val="both"/>
        <w:rPr>
          <w:rFonts w:ascii="Calibri" w:hAnsi="Calibri"/>
          <w:b/>
          <w:szCs w:val="21"/>
        </w:rPr>
      </w:pPr>
      <w:r>
        <w:t xml:space="preserve"> </w:t>
      </w:r>
      <w:r w:rsidR="00B65D9B" w:rsidRPr="00B65D9B">
        <w:rPr>
          <w:rFonts w:ascii="Calibri" w:hAnsi="Calibri"/>
          <w:b/>
          <w:szCs w:val="21"/>
        </w:rPr>
        <w:sym w:font="Wingdings" w:char="F0E8"/>
      </w:r>
      <w:r w:rsidR="00B65D9B" w:rsidRPr="00B65D9B">
        <w:rPr>
          <w:rFonts w:ascii="Calibri" w:hAnsi="Calibri"/>
          <w:b/>
          <w:szCs w:val="21"/>
        </w:rPr>
        <w:t xml:space="preserve"> Modification de la date d’entrée en vigueur de l’article 6 de </w:t>
      </w:r>
      <w:r w:rsidR="00B65D9B" w:rsidRPr="00B65D9B">
        <w:rPr>
          <w:rFonts w:ascii="Calibri" w:hAnsi="Calibri"/>
          <w:b/>
          <w:i/>
          <w:szCs w:val="21"/>
        </w:rPr>
        <w:t>l’arrêté du 16 juillet 2026</w:t>
      </w:r>
    </w:p>
    <w:p w:rsidR="00B65D9B" w:rsidRDefault="00B65D9B" w:rsidP="00B65D9B">
      <w:pPr>
        <w:pBdr>
          <w:left w:val="single" w:sz="4" w:space="4" w:color="auto"/>
        </w:pBdr>
        <w:jc w:val="both"/>
        <w:rPr>
          <w:rFonts w:ascii="Calibri" w:hAnsi="Calibri"/>
          <w:szCs w:val="21"/>
        </w:rPr>
      </w:pPr>
    </w:p>
    <w:p w:rsidR="00B65D9B" w:rsidRDefault="00B65D9B" w:rsidP="00B65D9B">
      <w:pPr>
        <w:pBdr>
          <w:left w:val="single" w:sz="4" w:space="4" w:color="auto"/>
        </w:pBdr>
        <w:jc w:val="both"/>
        <w:rPr>
          <w:rFonts w:ascii="Calibri" w:hAnsi="Calibri"/>
          <w:szCs w:val="21"/>
        </w:rPr>
      </w:pPr>
      <w:r>
        <w:t>Le présent arrêté modifie la date d’entrée en vigueur de l’article 6 de l’arrêté du 16 juillet 2026 modifiant les niveaux de bonification de la fiche d’opération standardisée TRA-EQ-117 et fixant les plafonds de revenus des déciles de revenus pour les opérations du secteur des transports.</w:t>
      </w:r>
    </w:p>
    <w:p w:rsidR="00B65D9B" w:rsidRPr="004931E3" w:rsidRDefault="00B65D9B" w:rsidP="00B65D9B">
      <w:pPr>
        <w:pBdr>
          <w:left w:val="single" w:sz="4" w:space="4" w:color="auto"/>
        </w:pBdr>
        <w:jc w:val="both"/>
        <w:rPr>
          <w:rFonts w:ascii="Calibri" w:hAnsi="Calibri"/>
          <w:szCs w:val="21"/>
        </w:rPr>
      </w:pPr>
    </w:p>
    <w:p w:rsidR="00B65D9B" w:rsidRPr="00230DD5" w:rsidRDefault="00B65D9B" w:rsidP="00B65D9B">
      <w:pPr>
        <w:pBdr>
          <w:left w:val="single" w:sz="4" w:space="4" w:color="auto"/>
        </w:pBdr>
        <w:jc w:val="both"/>
        <w:rPr>
          <w:rFonts w:ascii="Calibri" w:hAnsi="Calibri"/>
          <w:i/>
          <w:szCs w:val="21"/>
        </w:rPr>
      </w:pPr>
      <w:hyperlink r:id="rId18" w:history="1">
        <w:r w:rsidRPr="00230DD5">
          <w:rPr>
            <w:rStyle w:val="Lienhypertexte"/>
            <w:rFonts w:ascii="Calibri" w:hAnsi="Calibri"/>
            <w:b/>
            <w:i/>
            <w:color w:val="auto"/>
            <w:szCs w:val="21"/>
          </w:rPr>
          <w:t>Arrêté du 27 juillet 2026</w:t>
        </w:r>
        <w:r w:rsidRPr="00230DD5">
          <w:rPr>
            <w:rStyle w:val="Lienhypertexte"/>
            <w:rFonts w:ascii="Calibri" w:hAnsi="Calibri"/>
            <w:i/>
            <w:color w:val="auto"/>
            <w:szCs w:val="21"/>
          </w:rPr>
          <w:t xml:space="preserve"> modifiant l'arrêté du 16 juillet 2026 modifiant les niveaux de bonification de la fiche d'opération standardisée TRA-EQ-117 et fixant les plafonds de revenus des déciles de revenus pour les opérations du secteur des transports.</w:t>
        </w:r>
      </w:hyperlink>
    </w:p>
    <w:p w:rsidR="00A43048" w:rsidRDefault="00A43048" w:rsidP="00A43048">
      <w:pPr>
        <w:pStyle w:val="Textebrut"/>
      </w:pPr>
    </w:p>
    <w:p w:rsidR="00B25009" w:rsidRDefault="00B25009" w:rsidP="00A43048">
      <w:pPr>
        <w:pStyle w:val="Textebrut"/>
      </w:pPr>
    </w:p>
    <w:p w:rsidR="00B65D9B" w:rsidRDefault="00B65D9B" w:rsidP="00A43048">
      <w:pPr>
        <w:pStyle w:val="Textebrut"/>
      </w:pPr>
    </w:p>
    <w:p w:rsidR="004931E3" w:rsidRPr="004931E3" w:rsidRDefault="004931E3" w:rsidP="004931E3">
      <w:pPr>
        <w:pStyle w:val="Textebrut"/>
        <w:pBdr>
          <w:left w:val="single" w:sz="4" w:space="4" w:color="auto"/>
        </w:pBdr>
        <w:jc w:val="both"/>
        <w:rPr>
          <w:b/>
        </w:rPr>
      </w:pPr>
      <w:r w:rsidRPr="004931E3">
        <w:rPr>
          <w:b/>
        </w:rPr>
        <w:lastRenderedPageBreak/>
        <w:sym w:font="Wingdings" w:char="F0E8"/>
      </w:r>
      <w:r w:rsidRPr="004931E3">
        <w:rPr>
          <w:b/>
        </w:rPr>
        <w:t xml:space="preserve"> M</w:t>
      </w:r>
      <w:r w:rsidRPr="004931E3">
        <w:rPr>
          <w:b/>
        </w:rPr>
        <w:t>odification des modalités de contrôle dans le cadre du dispositif des certificats d’économies d’énergie</w:t>
      </w:r>
    </w:p>
    <w:p w:rsidR="004931E3" w:rsidRDefault="004931E3" w:rsidP="004931E3">
      <w:pPr>
        <w:pStyle w:val="Textebrut"/>
        <w:pBdr>
          <w:left w:val="single" w:sz="4" w:space="4" w:color="auto"/>
        </w:pBdr>
        <w:jc w:val="both"/>
      </w:pPr>
    </w:p>
    <w:p w:rsidR="004931E3" w:rsidRPr="004931E3" w:rsidRDefault="004931E3" w:rsidP="004931E3">
      <w:pPr>
        <w:pBdr>
          <w:left w:val="single" w:sz="4" w:space="4" w:color="auto"/>
        </w:pBdr>
        <w:jc w:val="both"/>
        <w:rPr>
          <w:rFonts w:ascii="Calibri" w:hAnsi="Calibri"/>
          <w:i/>
          <w:szCs w:val="21"/>
        </w:rPr>
      </w:pPr>
      <w:hyperlink r:id="rId19" w:history="1">
        <w:r w:rsidRPr="004931E3">
          <w:rPr>
            <w:rStyle w:val="Lienhypertexte"/>
            <w:rFonts w:ascii="Calibri" w:hAnsi="Calibri"/>
            <w:i/>
            <w:color w:val="auto"/>
            <w:szCs w:val="21"/>
          </w:rPr>
          <w:t>A</w:t>
        </w:r>
        <w:r w:rsidRPr="004931E3">
          <w:rPr>
            <w:rStyle w:val="Lienhypertexte"/>
            <w:rFonts w:ascii="Calibri" w:hAnsi="Calibri"/>
            <w:b/>
            <w:i/>
            <w:color w:val="auto"/>
            <w:szCs w:val="21"/>
          </w:rPr>
          <w:t>rrêté du 27 juillet 2026</w:t>
        </w:r>
        <w:r w:rsidRPr="004931E3">
          <w:rPr>
            <w:rStyle w:val="Lienhypertexte"/>
            <w:rFonts w:ascii="Calibri" w:hAnsi="Calibri"/>
            <w:i/>
            <w:color w:val="auto"/>
            <w:szCs w:val="21"/>
          </w:rPr>
          <w:t xml:space="preserve"> relatif aux modalités de contrôle dans le cadre du dispositif des certificats d'économies d'énergie.</w:t>
        </w:r>
      </w:hyperlink>
    </w:p>
    <w:p w:rsidR="004931E3" w:rsidRPr="004931E3" w:rsidRDefault="004931E3" w:rsidP="004931E3">
      <w:pPr>
        <w:rPr>
          <w:rFonts w:ascii="Calibri" w:hAnsi="Calibri"/>
          <w:szCs w:val="21"/>
        </w:rPr>
      </w:pPr>
    </w:p>
    <w:p w:rsidR="004931E3" w:rsidRDefault="004931E3" w:rsidP="004931E3">
      <w:pPr>
        <w:rPr>
          <w:rFonts w:ascii="Calibri" w:hAnsi="Calibri"/>
          <w:szCs w:val="21"/>
        </w:rPr>
      </w:pPr>
    </w:p>
    <w:p w:rsidR="00A82C7F" w:rsidRDefault="00A82C7F" w:rsidP="004931E3">
      <w:pPr>
        <w:rPr>
          <w:rFonts w:ascii="Calibri" w:hAnsi="Calibri"/>
          <w:szCs w:val="21"/>
        </w:rPr>
      </w:pPr>
    </w:p>
    <w:p w:rsidR="004931E3" w:rsidRPr="001A56CB" w:rsidRDefault="001A56CB" w:rsidP="001A56CB">
      <w:pPr>
        <w:pBdr>
          <w:left w:val="single" w:sz="4" w:space="4" w:color="auto"/>
        </w:pBdr>
        <w:jc w:val="both"/>
        <w:rPr>
          <w:rFonts w:ascii="Calibri" w:hAnsi="Calibri"/>
          <w:b/>
          <w:szCs w:val="21"/>
        </w:rPr>
      </w:pPr>
      <w:r w:rsidRPr="001A56CB">
        <w:rPr>
          <w:rFonts w:ascii="Calibri" w:hAnsi="Calibri"/>
          <w:b/>
          <w:szCs w:val="21"/>
        </w:rPr>
        <w:sym w:font="Wingdings" w:char="F0E8"/>
      </w:r>
      <w:r w:rsidRPr="001A56CB">
        <w:rPr>
          <w:rFonts w:ascii="Calibri" w:hAnsi="Calibri"/>
          <w:b/>
          <w:szCs w:val="21"/>
        </w:rPr>
        <w:t xml:space="preserve"> Extension de la bonification pour les opérations spécifiques industrielles entrant dans le champ d’application du dispositif mécanisme d’ajustement du carbone aux frontières</w:t>
      </w:r>
      <w:r>
        <w:rPr>
          <w:rFonts w:ascii="Calibri" w:hAnsi="Calibri"/>
          <w:b/>
          <w:szCs w:val="21"/>
        </w:rPr>
        <w:t xml:space="preserve"> (MACF)</w:t>
      </w:r>
    </w:p>
    <w:p w:rsidR="004931E3" w:rsidRDefault="004931E3" w:rsidP="001A56CB">
      <w:pPr>
        <w:pBdr>
          <w:left w:val="single" w:sz="4" w:space="4" w:color="auto"/>
        </w:pBdr>
        <w:jc w:val="both"/>
        <w:rPr>
          <w:rFonts w:ascii="Calibri" w:hAnsi="Calibri"/>
          <w:szCs w:val="21"/>
        </w:rPr>
      </w:pPr>
    </w:p>
    <w:p w:rsidR="001A56CB" w:rsidRDefault="001A56CB" w:rsidP="001A56CB">
      <w:pPr>
        <w:pBdr>
          <w:left w:val="single" w:sz="4" w:space="4" w:color="auto"/>
        </w:pBdr>
        <w:jc w:val="both"/>
        <w:rPr>
          <w:rFonts w:ascii="Calibri" w:hAnsi="Calibri"/>
          <w:szCs w:val="21"/>
        </w:rPr>
      </w:pPr>
      <w:r>
        <w:t>L</w:t>
      </w:r>
      <w:r>
        <w:t xml:space="preserve">e présent arrêté révise l’article 5-1 de l’arrêté du 29 décembre 2014 relatif aux modalités d’application du dispositif des certificats d’économies d’énergie </w:t>
      </w:r>
      <w:r w:rsidRPr="001A56CB">
        <w:rPr>
          <w:b/>
        </w:rPr>
        <w:t xml:space="preserve">en </w:t>
      </w:r>
      <w:bookmarkStart w:id="6" w:name="_Hlk236658378"/>
      <w:r w:rsidRPr="001A56CB">
        <w:rPr>
          <w:b/>
        </w:rPr>
        <w:t xml:space="preserve">étendant la bonification aux installations nouvelles, qu’elles soient réalisées sur des sites industriels existants ou sur des nouveaux sites, pour les opérations spécifiques industrielles entrant dans le champ d’application du dispositif mécanisme d’ajustement du carbone aux frontières </w:t>
      </w:r>
      <w:bookmarkEnd w:id="6"/>
      <w:r w:rsidRPr="001A56CB">
        <w:rPr>
          <w:b/>
        </w:rPr>
        <w:t>(MACF).</w:t>
      </w:r>
    </w:p>
    <w:p w:rsidR="001A56CB" w:rsidRDefault="001A56CB" w:rsidP="001A56CB">
      <w:pPr>
        <w:pBdr>
          <w:left w:val="single" w:sz="4" w:space="4" w:color="auto"/>
        </w:pBdr>
        <w:jc w:val="both"/>
        <w:rPr>
          <w:rFonts w:ascii="Calibri" w:hAnsi="Calibri"/>
          <w:szCs w:val="21"/>
        </w:rPr>
      </w:pPr>
    </w:p>
    <w:p w:rsidR="001A56CB" w:rsidRDefault="001A56CB" w:rsidP="001A56CB">
      <w:pPr>
        <w:pBdr>
          <w:left w:val="single" w:sz="4" w:space="4" w:color="auto"/>
        </w:pBdr>
        <w:jc w:val="both"/>
        <w:rPr>
          <w:rFonts w:ascii="Calibri" w:hAnsi="Calibri"/>
          <w:szCs w:val="21"/>
        </w:rPr>
      </w:pPr>
      <w:r>
        <w:t>L</w:t>
      </w:r>
      <w:r>
        <w:t>es dispositions du présent arrêté s’appliquent aux opérations spécifiques engagées à compter du lendemain de sa publication.</w:t>
      </w:r>
    </w:p>
    <w:p w:rsidR="001A56CB" w:rsidRPr="004931E3" w:rsidRDefault="001A56CB" w:rsidP="001A56CB">
      <w:pPr>
        <w:pBdr>
          <w:left w:val="single" w:sz="4" w:space="4" w:color="auto"/>
        </w:pBdr>
        <w:jc w:val="both"/>
        <w:rPr>
          <w:rFonts w:ascii="Calibri" w:hAnsi="Calibri"/>
          <w:szCs w:val="21"/>
        </w:rPr>
      </w:pPr>
    </w:p>
    <w:p w:rsidR="004931E3" w:rsidRPr="001A56CB" w:rsidRDefault="001A56CB" w:rsidP="001A56CB">
      <w:pPr>
        <w:pBdr>
          <w:left w:val="single" w:sz="4" w:space="4" w:color="auto"/>
        </w:pBdr>
        <w:jc w:val="both"/>
        <w:rPr>
          <w:rFonts w:ascii="Calibri" w:hAnsi="Calibri"/>
          <w:i/>
          <w:szCs w:val="21"/>
        </w:rPr>
      </w:pPr>
      <w:hyperlink r:id="rId20" w:history="1">
        <w:r w:rsidR="004931E3" w:rsidRPr="001A56CB">
          <w:rPr>
            <w:rStyle w:val="Lienhypertexte"/>
            <w:rFonts w:ascii="Calibri" w:hAnsi="Calibri"/>
            <w:b/>
            <w:i/>
            <w:color w:val="auto"/>
            <w:szCs w:val="21"/>
          </w:rPr>
          <w:t xml:space="preserve">Arrêté du 23 juillet 2026 </w:t>
        </w:r>
        <w:r w:rsidR="004931E3" w:rsidRPr="001A56CB">
          <w:rPr>
            <w:rStyle w:val="Lienhypertexte"/>
            <w:rFonts w:ascii="Calibri" w:hAnsi="Calibri"/>
            <w:i/>
            <w:color w:val="auto"/>
            <w:szCs w:val="21"/>
          </w:rPr>
          <w:t>modifiant l'arrêté du 29 décembre 2014 relatif aux modalités d'application du dispositif des certificats d'économies d'énergie, concernant la bonification pour les opérations spécifiques industrielles entrant dans le champ d'application du mécanisme d'ajustement carbone aux frontières</w:t>
        </w:r>
        <w:r w:rsidRPr="001A56CB">
          <w:rPr>
            <w:rStyle w:val="Lienhypertexte"/>
            <w:rFonts w:ascii="Calibri" w:hAnsi="Calibri"/>
            <w:i/>
            <w:color w:val="auto"/>
            <w:szCs w:val="21"/>
          </w:rPr>
          <w:t>.</w:t>
        </w:r>
      </w:hyperlink>
    </w:p>
    <w:p w:rsidR="001A56CB" w:rsidRDefault="001A56CB" w:rsidP="004931E3">
      <w:pPr>
        <w:rPr>
          <w:rFonts w:ascii="Calibri" w:hAnsi="Calibri"/>
          <w:szCs w:val="21"/>
        </w:rPr>
      </w:pPr>
    </w:p>
    <w:p w:rsidR="00230DD5" w:rsidRDefault="00230DD5" w:rsidP="004931E3">
      <w:pPr>
        <w:rPr>
          <w:rFonts w:ascii="Calibri" w:hAnsi="Calibri"/>
          <w:szCs w:val="21"/>
        </w:rPr>
      </w:pPr>
    </w:p>
    <w:p w:rsidR="00A82C7F" w:rsidRDefault="00A82C7F" w:rsidP="004931E3">
      <w:pPr>
        <w:rPr>
          <w:rFonts w:ascii="Calibri" w:hAnsi="Calibri"/>
          <w:szCs w:val="21"/>
        </w:rPr>
      </w:pPr>
    </w:p>
    <w:p w:rsidR="00EE5D4B" w:rsidRDefault="00EE5D4B" w:rsidP="00EE5D4B">
      <w:pPr>
        <w:pStyle w:val="Titre1"/>
      </w:pPr>
      <w:bookmarkStart w:id="7" w:name="_Toc236661807"/>
      <w:r>
        <w:t>Emissions de gaz à effet de serre</w:t>
      </w:r>
      <w:bookmarkEnd w:id="7"/>
    </w:p>
    <w:p w:rsidR="00EE5D4B" w:rsidRDefault="00EE5D4B" w:rsidP="00FF1864">
      <w:pPr>
        <w:jc w:val="both"/>
      </w:pPr>
    </w:p>
    <w:p w:rsidR="00221372" w:rsidRPr="00221372" w:rsidRDefault="00221372" w:rsidP="00221372">
      <w:pPr>
        <w:pBdr>
          <w:left w:val="single" w:sz="4" w:space="4" w:color="auto"/>
        </w:pBdr>
        <w:jc w:val="both"/>
        <w:rPr>
          <w:b/>
        </w:rPr>
      </w:pPr>
      <w:r w:rsidRPr="00221372">
        <w:rPr>
          <w:b/>
        </w:rPr>
        <w:sym w:font="Wingdings" w:char="F0E8"/>
      </w:r>
      <w:r w:rsidRPr="00221372">
        <w:rPr>
          <w:b/>
        </w:rPr>
        <w:t xml:space="preserve"> Budgets carbone nationaux et Stratégie nationale bas-carbone</w:t>
      </w:r>
    </w:p>
    <w:p w:rsidR="00221372" w:rsidRDefault="00221372" w:rsidP="00221372">
      <w:pPr>
        <w:pBdr>
          <w:left w:val="single" w:sz="4" w:space="4" w:color="auto"/>
        </w:pBdr>
        <w:jc w:val="both"/>
      </w:pPr>
    </w:p>
    <w:p w:rsidR="00221372" w:rsidRDefault="00221372" w:rsidP="00221372">
      <w:pPr>
        <w:pBdr>
          <w:left w:val="single" w:sz="4" w:space="4" w:color="auto"/>
        </w:pBdr>
        <w:jc w:val="both"/>
      </w:pPr>
      <w:r>
        <w:t xml:space="preserve">Le décret définit </w:t>
      </w:r>
      <w:proofErr w:type="gramStart"/>
      <w:r>
        <w:t>les budgets carbone</w:t>
      </w:r>
      <w:proofErr w:type="gramEnd"/>
      <w:r>
        <w:t xml:space="preserve"> qui constituent les objectifs de plafonds d’émissions de gaz à effet de serre de la France aux horizons 2024-2028, 2029-2033 et 2034-2038 et adopte les documents de la stratégie nationale bas-carbone révisée (n°3), qui contient les orientations de politiques publiques pour la mise en œuvre de la politique d’atténuation des émissions de gaz à effet de serre. </w:t>
      </w:r>
    </w:p>
    <w:p w:rsidR="00221372" w:rsidRDefault="00221372" w:rsidP="00221372">
      <w:pPr>
        <w:pBdr>
          <w:left w:val="single" w:sz="4" w:space="4" w:color="auto"/>
        </w:pBdr>
        <w:jc w:val="both"/>
      </w:pPr>
    </w:p>
    <w:p w:rsidR="00221372" w:rsidRPr="00221372" w:rsidRDefault="005A70CE" w:rsidP="00221372">
      <w:pPr>
        <w:pStyle w:val="Textebrut"/>
        <w:pBdr>
          <w:left w:val="single" w:sz="4" w:space="4" w:color="auto"/>
        </w:pBdr>
        <w:jc w:val="both"/>
        <w:rPr>
          <w:i/>
        </w:rPr>
      </w:pPr>
      <w:hyperlink r:id="rId21" w:history="1">
        <w:r w:rsidR="00221372" w:rsidRPr="00221372">
          <w:rPr>
            <w:rStyle w:val="Lienhypertexte"/>
            <w:b/>
            <w:i/>
            <w:color w:val="auto"/>
          </w:rPr>
          <w:t>Décret n° 2026-636 du 16 juillet 2026</w:t>
        </w:r>
        <w:r w:rsidR="00221372" w:rsidRPr="00221372">
          <w:rPr>
            <w:rStyle w:val="Lienhypertexte"/>
            <w:i/>
            <w:color w:val="auto"/>
          </w:rPr>
          <w:t xml:space="preserve"> relatif aux budgets carbone nationaux et à la stratégie nationale bas-carbone.</w:t>
        </w:r>
      </w:hyperlink>
    </w:p>
    <w:p w:rsidR="007B69D8" w:rsidRDefault="007B69D8" w:rsidP="00221372">
      <w:pPr>
        <w:pStyle w:val="Textebrut"/>
      </w:pPr>
    </w:p>
    <w:p w:rsidR="00553349" w:rsidRDefault="00553349" w:rsidP="00221372">
      <w:pPr>
        <w:pStyle w:val="Textebrut"/>
      </w:pPr>
    </w:p>
    <w:p w:rsidR="00A82C7F" w:rsidRDefault="00A82C7F" w:rsidP="00221372">
      <w:pPr>
        <w:pStyle w:val="Textebrut"/>
      </w:pPr>
    </w:p>
    <w:p w:rsidR="00553349" w:rsidRPr="00553349" w:rsidRDefault="00553349" w:rsidP="00553349">
      <w:pPr>
        <w:pStyle w:val="Textebrut"/>
        <w:pBdr>
          <w:left w:val="single" w:sz="4" w:space="4" w:color="auto"/>
        </w:pBdr>
        <w:jc w:val="both"/>
        <w:rPr>
          <w:b/>
        </w:rPr>
      </w:pPr>
      <w:r w:rsidRPr="00553349">
        <w:rPr>
          <w:b/>
        </w:rPr>
        <w:sym w:font="Wingdings" w:char="F0E8"/>
      </w:r>
      <w:r w:rsidRPr="00553349">
        <w:rPr>
          <w:b/>
        </w:rPr>
        <w:t xml:space="preserve"> Liste des exploitants d’installations fixes soumises à autorisation d’émettre des gaz à effet de</w:t>
      </w:r>
      <w:r>
        <w:rPr>
          <w:b/>
        </w:rPr>
        <w:t xml:space="preserve"> </w:t>
      </w:r>
      <w:r w:rsidRPr="00553349">
        <w:rPr>
          <w:b/>
        </w:rPr>
        <w:t>serre, ainsi que le montant des allocations gratuites de quotas d’émission</w:t>
      </w:r>
    </w:p>
    <w:p w:rsidR="00553349" w:rsidRDefault="00553349" w:rsidP="00553349">
      <w:pPr>
        <w:pStyle w:val="Textebrut"/>
        <w:pBdr>
          <w:left w:val="single" w:sz="4" w:space="4" w:color="auto"/>
        </w:pBdr>
        <w:jc w:val="both"/>
      </w:pPr>
    </w:p>
    <w:p w:rsidR="00553349" w:rsidRPr="00553349" w:rsidRDefault="005A70CE" w:rsidP="00553349">
      <w:pPr>
        <w:pStyle w:val="Textebrut"/>
        <w:pBdr>
          <w:left w:val="single" w:sz="4" w:space="4" w:color="auto"/>
        </w:pBdr>
        <w:jc w:val="both"/>
        <w:rPr>
          <w:i/>
        </w:rPr>
      </w:pPr>
      <w:hyperlink r:id="rId22" w:history="1">
        <w:r w:rsidR="00553349" w:rsidRPr="00553349">
          <w:rPr>
            <w:rStyle w:val="Lienhypertexte"/>
            <w:b/>
            <w:i/>
            <w:color w:val="auto"/>
          </w:rPr>
          <w:t>Arrêté du 26 juin 2026</w:t>
        </w:r>
        <w:r w:rsidR="00553349" w:rsidRPr="00553349">
          <w:rPr>
            <w:rStyle w:val="Lienhypertexte"/>
            <w:i/>
            <w:color w:val="auto"/>
          </w:rPr>
          <w:t xml:space="preserve"> modifiant l'arrêté du 10 décembre 2021 fixant la liste des exploitants d'installations soumises à autorisation pour les émissions de gaz à effet de serre ainsi que le montant des quotas d'émission affectés à titre gratuit pour les exploitants d'installations pour lesquelles des quotas d'émission à titre gratuit sont affectés, pour la période 2021-2025.</w:t>
        </w:r>
      </w:hyperlink>
    </w:p>
    <w:p w:rsidR="00553349" w:rsidRDefault="00553349" w:rsidP="00553349">
      <w:pPr>
        <w:pStyle w:val="Textebrut"/>
      </w:pPr>
    </w:p>
    <w:p w:rsidR="00553349" w:rsidRDefault="00553349" w:rsidP="00553349">
      <w:pPr>
        <w:pStyle w:val="Textebrut"/>
      </w:pPr>
    </w:p>
    <w:p w:rsidR="007B69D8" w:rsidRDefault="007B69D8" w:rsidP="00FF1864">
      <w:pPr>
        <w:jc w:val="both"/>
      </w:pPr>
    </w:p>
    <w:p w:rsidR="000E6286" w:rsidRDefault="000E6286" w:rsidP="000E6286">
      <w:pPr>
        <w:pStyle w:val="Titre1"/>
      </w:pPr>
      <w:bookmarkStart w:id="8" w:name="_Toc236661808"/>
      <w:r>
        <w:t>Environnement</w:t>
      </w:r>
      <w:bookmarkEnd w:id="8"/>
    </w:p>
    <w:p w:rsidR="000E6286" w:rsidRDefault="000E6286" w:rsidP="000E6286">
      <w:pPr>
        <w:pStyle w:val="Textebrut"/>
        <w:jc w:val="both"/>
      </w:pPr>
    </w:p>
    <w:p w:rsidR="00715322" w:rsidRPr="00715322" w:rsidRDefault="00715322" w:rsidP="00715322">
      <w:pPr>
        <w:pStyle w:val="Textebrut"/>
        <w:pBdr>
          <w:left w:val="single" w:sz="4" w:space="4" w:color="auto"/>
        </w:pBdr>
        <w:jc w:val="both"/>
        <w:rPr>
          <w:b/>
        </w:rPr>
      </w:pPr>
      <w:r w:rsidRPr="00715322">
        <w:rPr>
          <w:b/>
        </w:rPr>
        <w:sym w:font="Wingdings" w:char="F0E8"/>
      </w:r>
      <w:r w:rsidRPr="00715322">
        <w:rPr>
          <w:b/>
        </w:rPr>
        <w:t xml:space="preserve"> Réduction de l’impact environnemental de l’industrie textile</w:t>
      </w:r>
    </w:p>
    <w:p w:rsidR="00715322" w:rsidRDefault="00715322" w:rsidP="00715322">
      <w:pPr>
        <w:pStyle w:val="Textebrut"/>
        <w:pBdr>
          <w:left w:val="single" w:sz="4" w:space="4" w:color="auto"/>
        </w:pBdr>
        <w:jc w:val="both"/>
      </w:pPr>
    </w:p>
    <w:p w:rsidR="00715322" w:rsidRPr="00715322" w:rsidRDefault="005A70CE" w:rsidP="00715322">
      <w:pPr>
        <w:pStyle w:val="Textebrut"/>
        <w:pBdr>
          <w:left w:val="single" w:sz="4" w:space="4" w:color="auto"/>
        </w:pBdr>
        <w:jc w:val="both"/>
        <w:rPr>
          <w:i/>
        </w:rPr>
      </w:pPr>
      <w:hyperlink r:id="rId23" w:history="1">
        <w:r w:rsidR="00715322" w:rsidRPr="00715322">
          <w:rPr>
            <w:rStyle w:val="Lienhypertexte"/>
            <w:b/>
            <w:i/>
            <w:color w:val="auto"/>
          </w:rPr>
          <w:t>Loi n° 2026-602 du 8 juillet 2026</w:t>
        </w:r>
        <w:r w:rsidR="00715322" w:rsidRPr="00715322">
          <w:rPr>
            <w:rStyle w:val="Lienhypertexte"/>
            <w:i/>
            <w:color w:val="auto"/>
          </w:rPr>
          <w:t xml:space="preserve"> visant à réduire l'impact environnemental de l'industrie textile (1).</w:t>
        </w:r>
      </w:hyperlink>
    </w:p>
    <w:p w:rsidR="00715322" w:rsidRDefault="00715322" w:rsidP="00715322">
      <w:pPr>
        <w:pStyle w:val="Textebrut"/>
      </w:pPr>
    </w:p>
    <w:p w:rsidR="00A82C7F" w:rsidRDefault="00A82C7F" w:rsidP="00715322">
      <w:pPr>
        <w:pStyle w:val="Textebrut"/>
      </w:pPr>
    </w:p>
    <w:p w:rsidR="00615956" w:rsidRDefault="00615956" w:rsidP="000E6286">
      <w:pPr>
        <w:pStyle w:val="Textebrut"/>
        <w:jc w:val="both"/>
      </w:pPr>
    </w:p>
    <w:p w:rsidR="00615956" w:rsidRDefault="000223C2" w:rsidP="000223C2">
      <w:pPr>
        <w:pStyle w:val="Titre1"/>
      </w:pPr>
      <w:bookmarkStart w:id="9" w:name="_Toc236661809"/>
      <w:r>
        <w:t>G</w:t>
      </w:r>
      <w:r w:rsidR="00CC533C">
        <w:t>estionnaires de réseaux de distribution d’électricité</w:t>
      </w:r>
      <w:bookmarkEnd w:id="9"/>
    </w:p>
    <w:p w:rsidR="000223C2" w:rsidRDefault="000223C2" w:rsidP="000223C2"/>
    <w:p w:rsidR="00D37A3C" w:rsidRPr="00D37A3C" w:rsidRDefault="00D37A3C" w:rsidP="00D37A3C">
      <w:pPr>
        <w:pBdr>
          <w:left w:val="single" w:sz="4" w:space="4" w:color="auto"/>
        </w:pBdr>
        <w:jc w:val="both"/>
        <w:rPr>
          <w:b/>
        </w:rPr>
      </w:pPr>
      <w:r w:rsidRPr="00D37A3C">
        <w:rPr>
          <w:b/>
        </w:rPr>
        <w:sym w:font="Wingdings" w:char="F0E8"/>
      </w:r>
      <w:r w:rsidRPr="00D37A3C">
        <w:rPr>
          <w:b/>
        </w:rPr>
        <w:t xml:space="preserve"> Tarifs et contenu des prestations annexes réalisées à titre exclusif par les GRD d’électricité</w:t>
      </w:r>
    </w:p>
    <w:p w:rsidR="00D37A3C" w:rsidRDefault="00D37A3C" w:rsidP="00D37A3C">
      <w:pPr>
        <w:pBdr>
          <w:left w:val="single" w:sz="4" w:space="4" w:color="auto"/>
        </w:pBdr>
        <w:jc w:val="both"/>
      </w:pPr>
    </w:p>
    <w:p w:rsidR="00D37A3C" w:rsidRDefault="00D37A3C" w:rsidP="00D37A3C">
      <w:pPr>
        <w:pBdr>
          <w:left w:val="single" w:sz="4" w:space="4" w:color="auto"/>
        </w:pBdr>
        <w:jc w:val="both"/>
      </w:pPr>
      <w:r>
        <w:t xml:space="preserve">Les gestionnaires de réseaux de distribution (GRD) d’électricité sont chargés de l’acheminement de l’électricité sur les réseaux publics de distribution jusqu’aux consommateurs finals. Ils facturent l’acheminement de l’électricité aux utilisateurs de leur réseau, en application des tarifs d’utilisation des réseaux publics de distribution (TURPE) fixés par la Commission de régulation de l’énergie (CRE). </w:t>
      </w:r>
    </w:p>
    <w:p w:rsidR="00D37A3C" w:rsidRDefault="00D37A3C" w:rsidP="00D37A3C">
      <w:pPr>
        <w:pBdr>
          <w:left w:val="single" w:sz="4" w:space="4" w:color="auto"/>
        </w:pBdr>
        <w:jc w:val="both"/>
      </w:pPr>
    </w:p>
    <w:p w:rsidR="00D37A3C" w:rsidRDefault="00D37A3C" w:rsidP="00D37A3C">
      <w:pPr>
        <w:pBdr>
          <w:left w:val="single" w:sz="4" w:space="4" w:color="auto"/>
        </w:pBdr>
        <w:jc w:val="both"/>
      </w:pPr>
      <w:r>
        <w:t xml:space="preserve">En complément de la prestation d’acheminement de l’électricité, il existe également des </w:t>
      </w:r>
      <w:r w:rsidRPr="00D37A3C">
        <w:rPr>
          <w:b/>
        </w:rPr>
        <w:t>prestations annexes</w:t>
      </w:r>
      <w:r>
        <w:t xml:space="preserve"> réalisées à titre exclusif par les GRD d’électricité. Ces prestations, réalisées à la demande principalement des fournisseurs et des consommateurs finals, sont rassemblées, pour chaque GRD d’électricité, dans un catalogue de prestations qui est public. Les prestations annexes réalisées par les GRD d’électricité à destination des responsables d’équilibre (RE) sont regroupées dans un catalogue de prestations qui leur est dédié. L’article L. 341-3 du code de l’énergie confère à la CRE la compétence en matière de tarification des prestations annexes réalisées à titre exclusif par les GRD d’électricité.</w:t>
      </w:r>
    </w:p>
    <w:p w:rsidR="00D37A3C" w:rsidRDefault="00D37A3C" w:rsidP="00D37A3C">
      <w:pPr>
        <w:pBdr>
          <w:left w:val="single" w:sz="4" w:space="4" w:color="auto"/>
        </w:pBdr>
        <w:jc w:val="both"/>
      </w:pPr>
    </w:p>
    <w:p w:rsidR="00D37A3C" w:rsidRDefault="00D37A3C" w:rsidP="00D37A3C">
      <w:pPr>
        <w:pBdr>
          <w:left w:val="single" w:sz="4" w:space="4" w:color="auto"/>
        </w:pBdr>
        <w:jc w:val="both"/>
      </w:pPr>
      <w:r>
        <w:t>Ainsi, les dispositions de l’article L. 341-3 du code de l’énergie prévoient que « la Commission de régulation de l’énergie fixe […] les méthodes utilisées pour établir les tarifs des prestations annexes réalisées à titre exclusif » par les gestionnaires de réseaux.</w:t>
      </w:r>
    </w:p>
    <w:p w:rsidR="00D37A3C" w:rsidRDefault="00D37A3C" w:rsidP="00D37A3C">
      <w:pPr>
        <w:pBdr>
          <w:left w:val="single" w:sz="4" w:space="4" w:color="auto"/>
        </w:pBdr>
        <w:jc w:val="both"/>
      </w:pPr>
      <w:r>
        <w:t>[…]</w:t>
      </w:r>
    </w:p>
    <w:p w:rsidR="00D37A3C" w:rsidRDefault="00D37A3C" w:rsidP="00D37A3C">
      <w:pPr>
        <w:pBdr>
          <w:left w:val="single" w:sz="4" w:space="4" w:color="auto"/>
        </w:pBdr>
        <w:jc w:val="both"/>
      </w:pPr>
    </w:p>
    <w:p w:rsidR="00D37A3C" w:rsidRPr="00D37A3C" w:rsidRDefault="005A70CE" w:rsidP="00D37A3C">
      <w:pPr>
        <w:pBdr>
          <w:left w:val="single" w:sz="4" w:space="4" w:color="auto"/>
        </w:pBdr>
        <w:jc w:val="both"/>
        <w:rPr>
          <w:i/>
        </w:rPr>
      </w:pPr>
      <w:hyperlink r:id="rId24" w:history="1">
        <w:r w:rsidR="00D37A3C" w:rsidRPr="00D37A3C">
          <w:rPr>
            <w:rStyle w:val="Lienhypertexte"/>
            <w:b/>
            <w:i/>
            <w:color w:val="auto"/>
          </w:rPr>
          <w:t>Délibération n° 2026-142 du 2 juillet 2026</w:t>
        </w:r>
        <w:r w:rsidR="00D37A3C" w:rsidRPr="00D37A3C">
          <w:rPr>
            <w:rStyle w:val="Lienhypertexte"/>
            <w:i/>
            <w:color w:val="auto"/>
          </w:rPr>
          <w:t xml:space="preserve"> portant décision sur les prestations réalisées à titre exclusif par les gestionnaires de réseaux de distribution d'électricité.</w:t>
        </w:r>
      </w:hyperlink>
    </w:p>
    <w:p w:rsidR="00D37A3C" w:rsidRDefault="00D37A3C" w:rsidP="00D37A3C"/>
    <w:p w:rsidR="00D37A3C" w:rsidRDefault="00D37A3C" w:rsidP="00D37A3C"/>
    <w:p w:rsidR="00A82C7F" w:rsidRDefault="00A82C7F" w:rsidP="00D37A3C"/>
    <w:p w:rsidR="000223C2" w:rsidRDefault="00D42D83" w:rsidP="00D42D83">
      <w:pPr>
        <w:pStyle w:val="Titre1"/>
      </w:pPr>
      <w:bookmarkStart w:id="10" w:name="_Toc236661810"/>
      <w:r>
        <w:t>Hydrogène</w:t>
      </w:r>
      <w:bookmarkEnd w:id="10"/>
    </w:p>
    <w:p w:rsidR="000223C2" w:rsidRDefault="000223C2" w:rsidP="000223C2"/>
    <w:p w:rsidR="00D42D83" w:rsidRPr="00D42D83" w:rsidRDefault="00D42D83" w:rsidP="00D42D83">
      <w:pPr>
        <w:pBdr>
          <w:left w:val="single" w:sz="4" w:space="4" w:color="auto"/>
        </w:pBdr>
        <w:jc w:val="both"/>
        <w:rPr>
          <w:b/>
        </w:rPr>
      </w:pPr>
      <w:r w:rsidRPr="00D42D83">
        <w:rPr>
          <w:b/>
        </w:rPr>
        <w:sym w:font="Wingdings" w:char="F0E8"/>
      </w:r>
      <w:r w:rsidRPr="00D42D83">
        <w:rPr>
          <w:b/>
        </w:rPr>
        <w:t xml:space="preserve"> Précision du seuil d’émissions de gaz à effet de serre et la méthodologie pour qualifier l’hydrogène comme renouvelable ou bas carbone</w:t>
      </w:r>
    </w:p>
    <w:p w:rsidR="00D42D83" w:rsidRDefault="00D42D83" w:rsidP="00D42D83">
      <w:pPr>
        <w:pBdr>
          <w:left w:val="single" w:sz="4" w:space="4" w:color="auto"/>
        </w:pBdr>
        <w:jc w:val="both"/>
      </w:pPr>
    </w:p>
    <w:p w:rsidR="00D42D83" w:rsidRDefault="00D42D83" w:rsidP="00D42D83">
      <w:pPr>
        <w:pBdr>
          <w:left w:val="single" w:sz="4" w:space="4" w:color="auto"/>
        </w:pBdr>
        <w:jc w:val="both"/>
      </w:pPr>
      <w:r>
        <w:t xml:space="preserve">A la suite de la publication du règlement délégué de l’Union européenne précisant une méthode d’évaluation des réductions des émissions de gaz à effet de serre réalisées grâce aux carburants bas carbone, l’arrêté précisant le seuil d’émissions de gaz à effet de serre et la méthodologie pour qualifier l’hydrogène comme renouvelable ou bas carbone est mis à jour pour tenir compte des règles définies au niveau européen. </w:t>
      </w:r>
    </w:p>
    <w:p w:rsidR="00D42D83" w:rsidRDefault="00D42D83" w:rsidP="00D42D83">
      <w:pPr>
        <w:pBdr>
          <w:left w:val="single" w:sz="4" w:space="4" w:color="auto"/>
        </w:pBdr>
        <w:jc w:val="both"/>
      </w:pPr>
    </w:p>
    <w:p w:rsidR="00D42D83" w:rsidRDefault="00D42D83" w:rsidP="00D42D83">
      <w:pPr>
        <w:pBdr>
          <w:left w:val="single" w:sz="4" w:space="4" w:color="auto"/>
        </w:pBdr>
        <w:jc w:val="both"/>
      </w:pPr>
      <w:r>
        <w:lastRenderedPageBreak/>
        <w:t>Par ailleurs, une méthode est proposée pour accorder la certification bas carbone aux installations en attendant la reconnaissance des systèmes volontaires par la Commission européenne ayant déposé un dossier pour être habilités à cette catégorie d’audit.</w:t>
      </w:r>
    </w:p>
    <w:p w:rsidR="00D42D83" w:rsidRDefault="00D42D83" w:rsidP="00D42D83">
      <w:pPr>
        <w:pBdr>
          <w:left w:val="single" w:sz="4" w:space="4" w:color="auto"/>
        </w:pBdr>
        <w:jc w:val="both"/>
      </w:pPr>
    </w:p>
    <w:p w:rsidR="00D42D83" w:rsidRPr="00D42D83" w:rsidRDefault="005A70CE" w:rsidP="00D42D83">
      <w:pPr>
        <w:pBdr>
          <w:left w:val="single" w:sz="4" w:space="4" w:color="auto"/>
        </w:pBdr>
        <w:jc w:val="both"/>
        <w:rPr>
          <w:i/>
        </w:rPr>
      </w:pPr>
      <w:hyperlink r:id="rId25" w:history="1">
        <w:r w:rsidR="00D42D83" w:rsidRPr="00D42D83">
          <w:rPr>
            <w:rStyle w:val="Lienhypertexte"/>
            <w:b/>
            <w:i/>
            <w:color w:val="auto"/>
          </w:rPr>
          <w:t xml:space="preserve">Arrêté du 7 juillet 2026 </w:t>
        </w:r>
        <w:r w:rsidR="00D42D83" w:rsidRPr="00D42D83">
          <w:rPr>
            <w:rStyle w:val="Lienhypertexte"/>
            <w:i/>
            <w:color w:val="auto"/>
          </w:rPr>
          <w:t>modifiant l'arrêté du 1er juillet 2024 précisant le seuil d'émissions de gaz à effet de serre et la méthodologie pour qualifier l'hydrogène comme renouvelable ou bas-carbone.</w:t>
        </w:r>
      </w:hyperlink>
    </w:p>
    <w:p w:rsidR="00D42D83" w:rsidRDefault="00D42D83" w:rsidP="00D42D83"/>
    <w:p w:rsidR="00D42D83" w:rsidRDefault="00D42D83" w:rsidP="00D42D83"/>
    <w:p w:rsidR="00A82C7F" w:rsidRDefault="00A82C7F" w:rsidP="00D42D83"/>
    <w:p w:rsidR="00D42D83" w:rsidRDefault="00754ED5" w:rsidP="00754ED5">
      <w:pPr>
        <w:pStyle w:val="Titre1"/>
      </w:pPr>
      <w:bookmarkStart w:id="11" w:name="_Toc236661811"/>
      <w:r>
        <w:t>ICPE</w:t>
      </w:r>
      <w:bookmarkEnd w:id="11"/>
    </w:p>
    <w:p w:rsidR="00754ED5" w:rsidRDefault="00754ED5" w:rsidP="00754ED5"/>
    <w:p w:rsidR="00E47A9A" w:rsidRPr="00E47A9A" w:rsidRDefault="00E47A9A" w:rsidP="00E47A9A">
      <w:pPr>
        <w:pBdr>
          <w:left w:val="single" w:sz="4" w:space="4" w:color="auto"/>
        </w:pBdr>
        <w:jc w:val="both"/>
        <w:rPr>
          <w:b/>
        </w:rPr>
      </w:pPr>
      <w:r w:rsidRPr="00E47A9A">
        <w:rPr>
          <w:b/>
        </w:rPr>
        <w:sym w:font="Wingdings" w:char="F0E8"/>
      </w:r>
      <w:r w:rsidRPr="00E47A9A">
        <w:rPr>
          <w:b/>
        </w:rPr>
        <w:t xml:space="preserve"> Installations relevant des rubriques 2790 (traitement de déchets dangereux) ou 2791 (traitement de déchets non dangereux)</w:t>
      </w:r>
    </w:p>
    <w:p w:rsidR="00E47A9A" w:rsidRDefault="00E47A9A" w:rsidP="00E47A9A">
      <w:pPr>
        <w:pBdr>
          <w:left w:val="single" w:sz="4" w:space="4" w:color="auto"/>
        </w:pBdr>
        <w:jc w:val="both"/>
      </w:pPr>
    </w:p>
    <w:p w:rsidR="00E47A9A" w:rsidRDefault="00E47A9A" w:rsidP="00E47A9A">
      <w:pPr>
        <w:pBdr>
          <w:left w:val="single" w:sz="4" w:space="4" w:color="auto"/>
        </w:pBdr>
        <w:jc w:val="both"/>
      </w:pPr>
      <w:r>
        <w:t xml:space="preserve">Le présent arrêté définit des prescriptions pour le traitement des déchets liquides susceptibles de contenir des substances per- ou </w:t>
      </w:r>
      <w:proofErr w:type="spellStart"/>
      <w:r>
        <w:t>polyfluoroalkylées</w:t>
      </w:r>
      <w:proofErr w:type="spellEnd"/>
      <w:r>
        <w:t xml:space="preserve"> (PFAS) en vue de réduire les rejets aqueux de PFAS vers le milieu naturel.</w:t>
      </w:r>
    </w:p>
    <w:p w:rsidR="00E47A9A" w:rsidRDefault="00E47A9A" w:rsidP="00E47A9A">
      <w:pPr>
        <w:pBdr>
          <w:left w:val="single" w:sz="4" w:space="4" w:color="auto"/>
        </w:pBdr>
        <w:jc w:val="both"/>
      </w:pPr>
    </w:p>
    <w:p w:rsidR="00754ED5" w:rsidRPr="00E47A9A" w:rsidRDefault="005A70CE" w:rsidP="00E47A9A">
      <w:pPr>
        <w:pBdr>
          <w:left w:val="single" w:sz="4" w:space="4" w:color="auto"/>
        </w:pBdr>
        <w:jc w:val="both"/>
        <w:rPr>
          <w:i/>
        </w:rPr>
      </w:pPr>
      <w:hyperlink r:id="rId26" w:history="1">
        <w:r w:rsidR="00754ED5" w:rsidRPr="00E47A9A">
          <w:rPr>
            <w:rStyle w:val="Lienhypertexte"/>
            <w:b/>
            <w:i/>
            <w:color w:val="auto"/>
          </w:rPr>
          <w:t>Arrêté du 16 juillet 2026</w:t>
        </w:r>
        <w:r w:rsidR="00754ED5" w:rsidRPr="00E47A9A">
          <w:rPr>
            <w:rStyle w:val="Lienhypertexte"/>
            <w:i/>
            <w:color w:val="auto"/>
          </w:rPr>
          <w:t xml:space="preserve"> relatif au traitement des déchets liquides dans certaines installations relevant des rubriques 2790 (traitement de déchets dangereux) ou 2791 (traitement de déchets non dangereux) de la nomenclature des installations classées pour la protection de l'environnement</w:t>
        </w:r>
        <w:r w:rsidR="00E47A9A" w:rsidRPr="00E47A9A">
          <w:rPr>
            <w:rStyle w:val="Lienhypertexte"/>
            <w:i/>
            <w:color w:val="auto"/>
          </w:rPr>
          <w:t>.</w:t>
        </w:r>
      </w:hyperlink>
    </w:p>
    <w:p w:rsidR="00754ED5" w:rsidRDefault="00754ED5" w:rsidP="00754ED5"/>
    <w:p w:rsidR="00C464CB" w:rsidRDefault="00C464CB" w:rsidP="00754ED5"/>
    <w:p w:rsidR="00C464CB" w:rsidRDefault="00C464CB" w:rsidP="00754ED5"/>
    <w:p w:rsidR="00C464CB" w:rsidRDefault="00C464CB" w:rsidP="00E1003C">
      <w:pPr>
        <w:pBdr>
          <w:left w:val="single" w:sz="4" w:space="4" w:color="auto"/>
        </w:pBdr>
        <w:jc w:val="both"/>
      </w:pPr>
      <w:r>
        <w:sym w:font="Wingdings" w:char="F0E8"/>
      </w:r>
      <w:r>
        <w:t xml:space="preserve"> </w:t>
      </w:r>
      <w:r w:rsidRPr="00E1003C">
        <w:rPr>
          <w:b/>
        </w:rPr>
        <w:t>M</w:t>
      </w:r>
      <w:r w:rsidRPr="00E1003C">
        <w:rPr>
          <w:b/>
        </w:rPr>
        <w:t>éthodes normalisées de référence et les limites de quantification pour les</w:t>
      </w:r>
      <w:r w:rsidRPr="00E1003C">
        <w:rPr>
          <w:b/>
        </w:rPr>
        <w:t xml:space="preserve"> </w:t>
      </w:r>
      <w:r w:rsidRPr="00E1003C">
        <w:rPr>
          <w:b/>
        </w:rPr>
        <w:t>mesures dans l’air, l’eau et les sols dans les installations classées pour la protection de</w:t>
      </w:r>
      <w:r w:rsidRPr="00E1003C">
        <w:rPr>
          <w:b/>
        </w:rPr>
        <w:t xml:space="preserve"> </w:t>
      </w:r>
      <w:r w:rsidRPr="00E1003C">
        <w:rPr>
          <w:b/>
        </w:rPr>
        <w:t>l’environnement</w:t>
      </w:r>
    </w:p>
    <w:p w:rsidR="00C464CB" w:rsidRDefault="00C464CB" w:rsidP="00E1003C">
      <w:pPr>
        <w:pBdr>
          <w:left w:val="single" w:sz="4" w:space="4" w:color="auto"/>
        </w:pBdr>
        <w:jc w:val="both"/>
      </w:pPr>
    </w:p>
    <w:p w:rsidR="00E1003C" w:rsidRDefault="00E1003C" w:rsidP="00E1003C">
      <w:pPr>
        <w:pBdr>
          <w:left w:val="single" w:sz="4" w:space="4" w:color="auto"/>
        </w:pBdr>
        <w:jc w:val="both"/>
      </w:pPr>
      <w:r>
        <w:t xml:space="preserve">Cet avis abroge l’avis sur les méthodes normalisées de référence pour les mesures dans l’air, l’eau et les sols dans les installations classées pour la protection de l’environnement publié au Journal officiel de la République française du 12 mai 2025 (NOR : TECP2508395V). </w:t>
      </w:r>
    </w:p>
    <w:p w:rsidR="00E1003C" w:rsidRDefault="00E1003C" w:rsidP="00E1003C">
      <w:pPr>
        <w:pBdr>
          <w:left w:val="single" w:sz="4" w:space="4" w:color="auto"/>
        </w:pBdr>
        <w:jc w:val="both"/>
      </w:pPr>
    </w:p>
    <w:p w:rsidR="00E1003C" w:rsidRDefault="00E1003C" w:rsidP="00E1003C">
      <w:pPr>
        <w:pBdr>
          <w:left w:val="single" w:sz="4" w:space="4" w:color="auto"/>
        </w:pBdr>
        <w:jc w:val="both"/>
      </w:pPr>
      <w:r>
        <w:t xml:space="preserve">Cet avis abroge et remplace l’avis sur les méthodes normalisées de référence pour les mesures dans l’air, l’eau et les sols dans les installations classées pour la protection de l’environnement publié au Journal officiel de la République française du 12 février 2026 (NOR : TECP2601953V). </w:t>
      </w:r>
    </w:p>
    <w:p w:rsidR="00E1003C" w:rsidRDefault="00E1003C" w:rsidP="00E1003C">
      <w:pPr>
        <w:pBdr>
          <w:left w:val="single" w:sz="4" w:space="4" w:color="auto"/>
        </w:pBdr>
        <w:jc w:val="both"/>
      </w:pPr>
    </w:p>
    <w:p w:rsidR="00E1003C" w:rsidRDefault="00E1003C" w:rsidP="00E1003C">
      <w:pPr>
        <w:pBdr>
          <w:left w:val="single" w:sz="4" w:space="4" w:color="auto"/>
        </w:pBdr>
        <w:jc w:val="both"/>
      </w:pPr>
      <w:r>
        <w:t>Le présent avis précise les méthodes normalisées de référence à mettre en œuvre pour la réalisation des mesures de suivi des substances rejetées dans l’air, l’eau et les sols dans les installations classées pour la protection de l’environnement.</w:t>
      </w:r>
    </w:p>
    <w:p w:rsidR="00E1003C" w:rsidRDefault="00E1003C" w:rsidP="00E1003C">
      <w:pPr>
        <w:pBdr>
          <w:left w:val="single" w:sz="4" w:space="4" w:color="auto"/>
        </w:pBdr>
        <w:jc w:val="both"/>
      </w:pPr>
      <w:r>
        <w:t>[…]</w:t>
      </w:r>
    </w:p>
    <w:p w:rsidR="00E1003C" w:rsidRDefault="00E1003C" w:rsidP="00E1003C">
      <w:pPr>
        <w:pBdr>
          <w:left w:val="single" w:sz="4" w:space="4" w:color="auto"/>
        </w:pBdr>
        <w:jc w:val="both"/>
      </w:pPr>
    </w:p>
    <w:p w:rsidR="00400C03" w:rsidRPr="00C464CB" w:rsidRDefault="00C464CB" w:rsidP="00E1003C">
      <w:pPr>
        <w:pStyle w:val="Textebrut"/>
        <w:pBdr>
          <w:left w:val="single" w:sz="4" w:space="4" w:color="auto"/>
        </w:pBdr>
        <w:jc w:val="both"/>
        <w:rPr>
          <w:i/>
        </w:rPr>
      </w:pPr>
      <w:hyperlink r:id="rId27" w:history="1">
        <w:r w:rsidR="00400C03" w:rsidRPr="00C464CB">
          <w:rPr>
            <w:rStyle w:val="Lienhypertexte"/>
            <w:b/>
            <w:i/>
            <w:color w:val="auto"/>
          </w:rPr>
          <w:t xml:space="preserve">Avis </w:t>
        </w:r>
        <w:r>
          <w:rPr>
            <w:rStyle w:val="Lienhypertexte"/>
            <w:b/>
            <w:i/>
            <w:color w:val="auto"/>
          </w:rPr>
          <w:t xml:space="preserve">publié au JORF du 26 juillet 2026 </w:t>
        </w:r>
        <w:r w:rsidR="00400C03" w:rsidRPr="00C464CB">
          <w:rPr>
            <w:rStyle w:val="Lienhypertexte"/>
            <w:i/>
            <w:color w:val="auto"/>
          </w:rPr>
          <w:t>sur les méthodes normalisées de référence et les limites de quantification pour les mesures dans l'air, l'eau et les sols dans les installations classées pour la protection de l'environnement</w:t>
        </w:r>
        <w:r w:rsidRPr="00C464CB">
          <w:rPr>
            <w:rStyle w:val="Lienhypertexte"/>
            <w:i/>
            <w:color w:val="auto"/>
          </w:rPr>
          <w:t>.</w:t>
        </w:r>
      </w:hyperlink>
    </w:p>
    <w:p w:rsidR="00C464CB" w:rsidRDefault="00C464CB" w:rsidP="00400C03">
      <w:pPr>
        <w:pStyle w:val="Textebrut"/>
      </w:pPr>
    </w:p>
    <w:p w:rsidR="00400C03" w:rsidRDefault="00400C03" w:rsidP="00400C03">
      <w:pPr>
        <w:pStyle w:val="Textebrut"/>
      </w:pPr>
    </w:p>
    <w:p w:rsidR="00533241" w:rsidRDefault="00533241" w:rsidP="00400C03">
      <w:pPr>
        <w:pStyle w:val="Textebrut"/>
      </w:pPr>
    </w:p>
    <w:p w:rsidR="00206033" w:rsidRDefault="0072405E" w:rsidP="0072405E">
      <w:pPr>
        <w:pStyle w:val="Titre1"/>
      </w:pPr>
      <w:bookmarkStart w:id="12" w:name="_Toc236661812"/>
      <w:r>
        <w:t>Lutte contre la fraude</w:t>
      </w:r>
      <w:bookmarkEnd w:id="12"/>
    </w:p>
    <w:p w:rsidR="0072405E" w:rsidRDefault="0072405E" w:rsidP="0072405E"/>
    <w:p w:rsidR="0072405E" w:rsidRPr="007768D6" w:rsidRDefault="0072405E" w:rsidP="007768D6">
      <w:pPr>
        <w:pBdr>
          <w:left w:val="single" w:sz="4" w:space="4" w:color="auto"/>
        </w:pBdr>
        <w:jc w:val="both"/>
        <w:rPr>
          <w:b/>
        </w:rPr>
      </w:pPr>
      <w:r w:rsidRPr="007768D6">
        <w:rPr>
          <w:b/>
        </w:rPr>
        <w:lastRenderedPageBreak/>
        <w:sym w:font="Wingdings" w:char="F0E8"/>
      </w:r>
      <w:r w:rsidRPr="007768D6">
        <w:rPr>
          <w:b/>
        </w:rPr>
        <w:t xml:space="preserve"> A</w:t>
      </w:r>
      <w:r w:rsidRPr="007768D6">
        <w:rPr>
          <w:b/>
        </w:rPr>
        <w:t>pplication du IV de l’article 4 de la loi n</w:t>
      </w:r>
      <w:r w:rsidR="007768D6" w:rsidRPr="007768D6">
        <w:rPr>
          <w:b/>
        </w:rPr>
        <w:t>°</w:t>
      </w:r>
      <w:r w:rsidRPr="007768D6">
        <w:rPr>
          <w:b/>
        </w:rPr>
        <w:t>2025-594 du 30 juin 2025 contre</w:t>
      </w:r>
      <w:r w:rsidR="007768D6" w:rsidRPr="007768D6">
        <w:rPr>
          <w:b/>
        </w:rPr>
        <w:t xml:space="preserve"> </w:t>
      </w:r>
      <w:r w:rsidRPr="007768D6">
        <w:rPr>
          <w:b/>
        </w:rPr>
        <w:t>toutes les fraudes aux aides publiques</w:t>
      </w:r>
    </w:p>
    <w:p w:rsidR="0072405E" w:rsidRDefault="0072405E" w:rsidP="007768D6">
      <w:pPr>
        <w:pBdr>
          <w:left w:val="single" w:sz="4" w:space="4" w:color="auto"/>
        </w:pBdr>
        <w:jc w:val="both"/>
      </w:pPr>
    </w:p>
    <w:p w:rsidR="0072405E" w:rsidRDefault="0072405E" w:rsidP="007768D6">
      <w:pPr>
        <w:pBdr>
          <w:left w:val="single" w:sz="4" w:space="4" w:color="auto"/>
        </w:pBdr>
        <w:jc w:val="both"/>
      </w:pPr>
      <w:r>
        <w:t xml:space="preserve">Le présent décret précise les </w:t>
      </w:r>
      <w:r>
        <w:t>modalités de transmission des informations utiles dans le cadre de la lutte contre la fraude par les organismes de qualification, les organismes de contrôle de ces organismes de qualification, et les organismes instructeurs des demandes d’agrément et des rapports de contrôle, auprès de l’Agence nationale de l’habitat et du service de l’Etat chargé de la coordination interministérielle pour la lutte contre la fraude aux finances publiques.</w:t>
      </w:r>
    </w:p>
    <w:p w:rsidR="0072405E" w:rsidRDefault="0072405E" w:rsidP="007768D6">
      <w:pPr>
        <w:pBdr>
          <w:left w:val="single" w:sz="4" w:space="4" w:color="auto"/>
        </w:pBdr>
        <w:jc w:val="both"/>
      </w:pPr>
    </w:p>
    <w:p w:rsidR="0072405E" w:rsidRPr="0072405E" w:rsidRDefault="0072405E" w:rsidP="007768D6">
      <w:pPr>
        <w:pStyle w:val="Textebrut"/>
        <w:pBdr>
          <w:left w:val="single" w:sz="4" w:space="4" w:color="auto"/>
        </w:pBdr>
        <w:jc w:val="both"/>
        <w:rPr>
          <w:i/>
        </w:rPr>
      </w:pPr>
      <w:hyperlink r:id="rId28" w:history="1">
        <w:r w:rsidRPr="0072405E">
          <w:rPr>
            <w:rStyle w:val="Lienhypertexte"/>
            <w:b/>
            <w:i/>
            <w:color w:val="auto"/>
          </w:rPr>
          <w:t>Décret n° 2026-664 du 23 juillet 2026</w:t>
        </w:r>
        <w:r w:rsidRPr="0072405E">
          <w:rPr>
            <w:rStyle w:val="Lienhypertexte"/>
            <w:i/>
            <w:color w:val="auto"/>
          </w:rPr>
          <w:t xml:space="preserve"> portant application du IV de l'article 4 de la loi n° 2025-594 du 30 juin 2025 contre toutes les fraudes aux aides publiques.</w:t>
        </w:r>
      </w:hyperlink>
    </w:p>
    <w:p w:rsidR="0072405E" w:rsidRDefault="0072405E" w:rsidP="0072405E">
      <w:pPr>
        <w:pStyle w:val="Textebrut"/>
      </w:pPr>
    </w:p>
    <w:p w:rsidR="0072405E" w:rsidRDefault="0072405E" w:rsidP="0072405E">
      <w:pPr>
        <w:pStyle w:val="Textebrut"/>
      </w:pPr>
    </w:p>
    <w:p w:rsidR="00533241" w:rsidRDefault="00533241" w:rsidP="0072405E">
      <w:pPr>
        <w:pStyle w:val="Textebrut"/>
      </w:pPr>
    </w:p>
    <w:p w:rsidR="005D16CF" w:rsidRDefault="005D16CF" w:rsidP="005D16CF">
      <w:pPr>
        <w:pStyle w:val="Titre1"/>
      </w:pPr>
      <w:bookmarkStart w:id="13" w:name="_Toc236661813"/>
      <w:r>
        <w:t>Pompes à chaleur</w:t>
      </w:r>
      <w:bookmarkEnd w:id="13"/>
    </w:p>
    <w:p w:rsidR="005D16CF" w:rsidRDefault="005D16CF" w:rsidP="005D16CF"/>
    <w:p w:rsidR="005D16CF" w:rsidRPr="005D16CF" w:rsidRDefault="005D16CF" w:rsidP="005D16CF">
      <w:pPr>
        <w:pBdr>
          <w:left w:val="single" w:sz="4" w:space="4" w:color="auto"/>
        </w:pBdr>
        <w:rPr>
          <w:b/>
        </w:rPr>
      </w:pPr>
      <w:r w:rsidRPr="005D16CF">
        <w:rPr>
          <w:b/>
        </w:rPr>
        <w:sym w:font="Wingdings" w:char="F0E8"/>
      </w:r>
      <w:r w:rsidRPr="005D16CF">
        <w:rPr>
          <w:b/>
        </w:rPr>
        <w:t xml:space="preserve"> Liste des modèles de pompes à chaleur bénéficiant d’un agrément</w:t>
      </w:r>
    </w:p>
    <w:p w:rsidR="005D16CF" w:rsidRDefault="005D16CF" w:rsidP="005D16CF">
      <w:pPr>
        <w:pBdr>
          <w:left w:val="single" w:sz="4" w:space="4" w:color="auto"/>
        </w:pBdr>
        <w:jc w:val="both"/>
      </w:pPr>
    </w:p>
    <w:p w:rsidR="005D16CF" w:rsidRDefault="005D16CF" w:rsidP="005D16CF">
      <w:pPr>
        <w:pBdr>
          <w:left w:val="single" w:sz="4" w:space="4" w:color="auto"/>
        </w:pBdr>
        <w:jc w:val="both"/>
      </w:pPr>
      <w:r>
        <w:t xml:space="preserve">Le présent arrêté est pris en application du décret n°2026-413 du 29 mai 2026 relatif à l’instruction des demandes d’agrément de modèles de </w:t>
      </w:r>
      <w:r w:rsidRPr="005D16CF">
        <w:rPr>
          <w:b/>
        </w:rPr>
        <w:t>pompes à chaleur en matière de qualité et de résilience industrielle</w:t>
      </w:r>
      <w:r>
        <w:t>.</w:t>
      </w:r>
    </w:p>
    <w:p w:rsidR="005D16CF" w:rsidRDefault="005D16CF" w:rsidP="005D16CF">
      <w:pPr>
        <w:pBdr>
          <w:left w:val="single" w:sz="4" w:space="4" w:color="auto"/>
        </w:pBdr>
        <w:jc w:val="both"/>
      </w:pPr>
    </w:p>
    <w:p w:rsidR="005D16CF" w:rsidRPr="005D16CF" w:rsidRDefault="005A70CE" w:rsidP="005D16CF">
      <w:pPr>
        <w:pBdr>
          <w:left w:val="single" w:sz="4" w:space="4" w:color="auto"/>
        </w:pBdr>
        <w:jc w:val="both"/>
        <w:rPr>
          <w:i/>
        </w:rPr>
      </w:pPr>
      <w:hyperlink r:id="rId29" w:history="1">
        <w:r w:rsidR="005D16CF" w:rsidRPr="005D16CF">
          <w:rPr>
            <w:rStyle w:val="Lienhypertexte"/>
            <w:b/>
            <w:i/>
            <w:color w:val="auto"/>
          </w:rPr>
          <w:t>Arrêté du 2 juillet 2026</w:t>
        </w:r>
        <w:r w:rsidR="005D16CF" w:rsidRPr="005D16CF">
          <w:rPr>
            <w:rStyle w:val="Lienhypertexte"/>
            <w:i/>
            <w:color w:val="auto"/>
          </w:rPr>
          <w:t xml:space="preserve"> fixant la liste des modèles de pompes à chaleur agréés en matière de qualité et de résilience industrielle.</w:t>
        </w:r>
      </w:hyperlink>
    </w:p>
    <w:p w:rsidR="005D16CF" w:rsidRDefault="005D16CF" w:rsidP="005D16CF"/>
    <w:p w:rsidR="005D16CF" w:rsidRDefault="005D16CF" w:rsidP="005D16CF"/>
    <w:p w:rsidR="00533241" w:rsidRDefault="00533241" w:rsidP="005D16CF"/>
    <w:p w:rsidR="005D16CF" w:rsidRDefault="00CC7F88" w:rsidP="00CC7F88">
      <w:pPr>
        <w:pStyle w:val="Titre1"/>
      </w:pPr>
      <w:bookmarkStart w:id="14" w:name="_Toc236661814"/>
      <w:r>
        <w:t>Produits de construction</w:t>
      </w:r>
      <w:bookmarkEnd w:id="14"/>
    </w:p>
    <w:p w:rsidR="00CC7F88" w:rsidRDefault="00CC7F88" w:rsidP="00CC7F88"/>
    <w:p w:rsidR="00415243" w:rsidRDefault="00CC7F88" w:rsidP="00415243">
      <w:pPr>
        <w:pBdr>
          <w:left w:val="single" w:sz="4" w:space="4" w:color="auto"/>
        </w:pBdr>
        <w:jc w:val="both"/>
        <w:rPr>
          <w:b/>
        </w:rPr>
      </w:pPr>
      <w:r w:rsidRPr="00415243">
        <w:rPr>
          <w:b/>
        </w:rPr>
        <w:sym w:font="Wingdings" w:char="F0E8"/>
      </w:r>
      <w:r w:rsidRPr="00415243">
        <w:rPr>
          <w:b/>
        </w:rPr>
        <w:t xml:space="preserve"> Exigences minimales de compétences pour </w:t>
      </w:r>
      <w:r w:rsidR="00415243" w:rsidRPr="00415243">
        <w:rPr>
          <w:b/>
        </w:rPr>
        <w:t xml:space="preserve">les </w:t>
      </w:r>
      <w:r w:rsidRPr="00415243">
        <w:rPr>
          <w:b/>
        </w:rPr>
        <w:t>organisme</w:t>
      </w:r>
      <w:r w:rsidR="00415243" w:rsidRPr="00415243">
        <w:rPr>
          <w:b/>
        </w:rPr>
        <w:t>s</w:t>
      </w:r>
      <w:r w:rsidRPr="00415243">
        <w:rPr>
          <w:b/>
        </w:rPr>
        <w:t xml:space="preserve"> notifié</w:t>
      </w:r>
      <w:r w:rsidR="00415243" w:rsidRPr="00415243">
        <w:rPr>
          <w:b/>
        </w:rPr>
        <w:t>s</w:t>
      </w:r>
      <w:r w:rsidRPr="00415243">
        <w:rPr>
          <w:b/>
        </w:rPr>
        <w:t xml:space="preserve"> au sens du règlement européen relatif aux produits de construction</w:t>
      </w:r>
    </w:p>
    <w:p w:rsidR="00415243" w:rsidRDefault="00415243" w:rsidP="00415243">
      <w:pPr>
        <w:pBdr>
          <w:left w:val="single" w:sz="4" w:space="4" w:color="auto"/>
        </w:pBdr>
        <w:jc w:val="both"/>
      </w:pPr>
    </w:p>
    <w:p w:rsidR="00CC7F88" w:rsidRDefault="00CC7F88" w:rsidP="00415243">
      <w:pPr>
        <w:pBdr>
          <w:left w:val="single" w:sz="4" w:space="4" w:color="auto"/>
        </w:pBdr>
        <w:jc w:val="both"/>
      </w:pPr>
      <w:r>
        <w:t>Le présent arrêté est pris pour l’application de l’article R. 114-4 du code de la construction et de l’habitation. Il vient préciser les exigences minimales de compétences dont le personnel des organismes notifiés au titre du système 3+ doit disposer. Le personnel comprend les équipes de vérification, les équipes en charge des activités de revue et les équipes d’inspection initiale de l’établissement de fabrication.</w:t>
      </w:r>
    </w:p>
    <w:p w:rsidR="00CC7F88" w:rsidRDefault="00CC7F88" w:rsidP="00415243">
      <w:pPr>
        <w:pBdr>
          <w:left w:val="single" w:sz="4" w:space="4" w:color="auto"/>
        </w:pBdr>
        <w:jc w:val="both"/>
      </w:pPr>
    </w:p>
    <w:p w:rsidR="00CC7F88" w:rsidRPr="00CC7F88" w:rsidRDefault="005A70CE" w:rsidP="00415243">
      <w:pPr>
        <w:pBdr>
          <w:left w:val="single" w:sz="4" w:space="4" w:color="auto"/>
        </w:pBdr>
        <w:jc w:val="both"/>
        <w:rPr>
          <w:i/>
        </w:rPr>
      </w:pPr>
      <w:hyperlink r:id="rId30" w:history="1">
        <w:r w:rsidR="00CC7F88" w:rsidRPr="00CC7F88">
          <w:rPr>
            <w:rStyle w:val="Lienhypertexte"/>
            <w:b/>
            <w:i/>
            <w:color w:val="auto"/>
          </w:rPr>
          <w:t>Arrêté du 9 juillet 2026</w:t>
        </w:r>
        <w:r w:rsidR="00CC7F88" w:rsidRPr="00CC7F88">
          <w:rPr>
            <w:rStyle w:val="Lienhypertexte"/>
            <w:i/>
            <w:color w:val="auto"/>
          </w:rPr>
          <w:t xml:space="preserve"> fixant la liste des compétences mentionnées à l'article R. 114-4 du code de la construction et de l'habitation.</w:t>
        </w:r>
      </w:hyperlink>
    </w:p>
    <w:p w:rsidR="00CC7F88" w:rsidRDefault="00CC7F88" w:rsidP="00CC7F88"/>
    <w:p w:rsidR="00CC7F88" w:rsidRDefault="00CC7F88" w:rsidP="00CC7F88"/>
    <w:p w:rsidR="00533241" w:rsidRPr="00CC7F88" w:rsidRDefault="00533241" w:rsidP="00CC7F88"/>
    <w:p w:rsidR="005D16CF" w:rsidRDefault="007273DC" w:rsidP="007273DC">
      <w:pPr>
        <w:pStyle w:val="Titre1"/>
      </w:pPr>
      <w:bookmarkStart w:id="15" w:name="_Toc236661815"/>
      <w:r>
        <w:t>Rénovation énergétique</w:t>
      </w:r>
      <w:bookmarkEnd w:id="15"/>
    </w:p>
    <w:p w:rsidR="005D16CF" w:rsidRDefault="005D16CF" w:rsidP="005D16CF"/>
    <w:p w:rsidR="007273DC" w:rsidRPr="00030058" w:rsidRDefault="007273DC" w:rsidP="00030058">
      <w:pPr>
        <w:pBdr>
          <w:left w:val="single" w:sz="4" w:space="4" w:color="auto"/>
        </w:pBdr>
        <w:jc w:val="both"/>
        <w:rPr>
          <w:b/>
        </w:rPr>
      </w:pPr>
      <w:r w:rsidRPr="00030058">
        <w:rPr>
          <w:b/>
        </w:rPr>
        <w:sym w:font="Wingdings" w:char="F0E8"/>
      </w:r>
      <w:r w:rsidRPr="00030058">
        <w:rPr>
          <w:b/>
        </w:rPr>
        <w:t xml:space="preserve"> </w:t>
      </w:r>
      <w:r w:rsidR="00030058" w:rsidRPr="00030058">
        <w:rPr>
          <w:b/>
        </w:rPr>
        <w:t>Critères applicables aux pompes à chaleur air/air pour le bénéfice du taux réduit de TVA de 5,5 %</w:t>
      </w:r>
    </w:p>
    <w:p w:rsidR="007273DC" w:rsidRDefault="007273DC" w:rsidP="00030058">
      <w:pPr>
        <w:pBdr>
          <w:left w:val="single" w:sz="4" w:space="4" w:color="auto"/>
        </w:pBdr>
        <w:jc w:val="both"/>
      </w:pPr>
    </w:p>
    <w:p w:rsidR="00030058" w:rsidRDefault="00030058" w:rsidP="00030058">
      <w:pPr>
        <w:pBdr>
          <w:left w:val="single" w:sz="4" w:space="4" w:color="auto"/>
        </w:pBdr>
        <w:jc w:val="both"/>
      </w:pPr>
      <w:r>
        <w:t>L’article 278-0 bis A du code général des impôts, dans sa rédaction résultant de l’article 92 de la loi</w:t>
      </w:r>
    </w:p>
    <w:p w:rsidR="00030058" w:rsidRDefault="00030058" w:rsidP="00030058">
      <w:pPr>
        <w:pBdr>
          <w:left w:val="single" w:sz="4" w:space="4" w:color="auto"/>
        </w:pBdr>
        <w:jc w:val="both"/>
      </w:pPr>
      <w:r>
        <w:lastRenderedPageBreak/>
        <w:t>N°2026-103 du 19 février 2026 de finances pour 2026, prévoit notamment que les pompes à chaleur air/air, qui répondent à des critères de performance environnementale et de durabilité appréciés sur leur cycle de vie, relèvent du taux réduit de taxe sur la valeur ajoutée (TVA) de 5,5 %. Le II du même article 278-0 bis A renvoie à un arrêté le soin de préciser les caractéristiques et les niveaux de performance des matériaux, équipements, appareils et systèmes concernés.</w:t>
      </w:r>
    </w:p>
    <w:p w:rsidR="00030058" w:rsidRDefault="00030058" w:rsidP="00030058">
      <w:pPr>
        <w:pBdr>
          <w:left w:val="single" w:sz="4" w:space="4" w:color="auto"/>
        </w:pBdr>
        <w:jc w:val="both"/>
      </w:pPr>
    </w:p>
    <w:p w:rsidR="00030058" w:rsidRDefault="00030058" w:rsidP="00030058">
      <w:pPr>
        <w:pBdr>
          <w:left w:val="single" w:sz="4" w:space="4" w:color="auto"/>
        </w:pBdr>
        <w:jc w:val="both"/>
      </w:pPr>
      <w:r>
        <w:t>En conséquence, le présent arrêté précise les critères applicables aux pompes à chaleur air/air pour le bénéfice du taux réduit de TVA de 5,5 %.</w:t>
      </w:r>
    </w:p>
    <w:p w:rsidR="00030058" w:rsidRDefault="00030058" w:rsidP="00030058">
      <w:pPr>
        <w:pBdr>
          <w:left w:val="single" w:sz="4" w:space="4" w:color="auto"/>
        </w:pBdr>
        <w:jc w:val="both"/>
      </w:pPr>
    </w:p>
    <w:p w:rsidR="007273DC" w:rsidRPr="007273DC" w:rsidRDefault="005A70CE" w:rsidP="00030058">
      <w:pPr>
        <w:pBdr>
          <w:left w:val="single" w:sz="4" w:space="4" w:color="auto"/>
        </w:pBdr>
        <w:jc w:val="both"/>
        <w:rPr>
          <w:i/>
        </w:rPr>
      </w:pPr>
      <w:hyperlink r:id="rId31" w:history="1">
        <w:r w:rsidR="007273DC" w:rsidRPr="007273DC">
          <w:rPr>
            <w:rStyle w:val="Lienhypertexte"/>
            <w:b/>
            <w:i/>
            <w:color w:val="auto"/>
          </w:rPr>
          <w:t>Arrêté du 13 juillet 2026</w:t>
        </w:r>
        <w:r w:rsidR="007273DC" w:rsidRPr="007273DC">
          <w:rPr>
            <w:rStyle w:val="Lienhypertexte"/>
            <w:i/>
            <w:color w:val="auto"/>
          </w:rPr>
          <w:t xml:space="preserve"> modifiant la nature et les caractéristiques des prestations de rénovation énergétique bénéficiant du taux réduit de la taxe sur la valeur ajoutée prévu à l'article 278-0 bis A du code général des impôts.</w:t>
        </w:r>
      </w:hyperlink>
    </w:p>
    <w:p w:rsidR="007273DC" w:rsidRDefault="007273DC" w:rsidP="007273DC"/>
    <w:p w:rsidR="007273DC" w:rsidRDefault="007273DC" w:rsidP="007273DC"/>
    <w:p w:rsidR="00533241" w:rsidRDefault="00533241" w:rsidP="007273DC"/>
    <w:p w:rsidR="00B1207C" w:rsidRPr="00B1207C" w:rsidRDefault="00B1207C" w:rsidP="00B1207C">
      <w:pPr>
        <w:pBdr>
          <w:left w:val="single" w:sz="4" w:space="4" w:color="auto"/>
        </w:pBdr>
        <w:jc w:val="both"/>
        <w:rPr>
          <w:b/>
        </w:rPr>
      </w:pPr>
      <w:r w:rsidRPr="00B1207C">
        <w:rPr>
          <w:b/>
        </w:rPr>
        <w:sym w:font="Wingdings" w:char="F0E8"/>
      </w:r>
      <w:r w:rsidRPr="00B1207C">
        <w:rPr>
          <w:b/>
        </w:rPr>
        <w:t xml:space="preserve"> P</w:t>
      </w:r>
      <w:r w:rsidRPr="00B1207C">
        <w:rPr>
          <w:b/>
        </w:rPr>
        <w:t>romotion ou publicité proposant des travaux de rénovation énergétique des logements en vue de la réalisation d’économies d’énergie ou de production d’énergie renouvelable</w:t>
      </w:r>
    </w:p>
    <w:p w:rsidR="00B1207C" w:rsidRDefault="00B1207C" w:rsidP="00B1207C">
      <w:pPr>
        <w:pBdr>
          <w:left w:val="single" w:sz="4" w:space="4" w:color="auto"/>
        </w:pBdr>
        <w:jc w:val="both"/>
      </w:pPr>
    </w:p>
    <w:p w:rsidR="00B1207C" w:rsidRDefault="00B1207C" w:rsidP="00B1207C">
      <w:pPr>
        <w:pBdr>
          <w:left w:val="single" w:sz="4" w:space="4" w:color="auto"/>
        </w:pBdr>
        <w:jc w:val="both"/>
      </w:pPr>
      <w:r>
        <w:t>L</w:t>
      </w:r>
      <w:r>
        <w:t xml:space="preserve">’arrêté précise le contenu et les modalités d’information du consommateur sur l’existence et le rôle du service public de la performance énergétique de l’habitat, sur tout support de promotion ou de publicité proposant des travaux de rénovation énergétique. </w:t>
      </w:r>
    </w:p>
    <w:p w:rsidR="00B1207C" w:rsidRDefault="00B1207C" w:rsidP="00B1207C">
      <w:pPr>
        <w:pBdr>
          <w:left w:val="single" w:sz="4" w:space="4" w:color="auto"/>
        </w:pBdr>
        <w:jc w:val="both"/>
      </w:pPr>
    </w:p>
    <w:p w:rsidR="00B1207C" w:rsidRDefault="00B1207C" w:rsidP="00B1207C">
      <w:pPr>
        <w:pBdr>
          <w:left w:val="single" w:sz="4" w:space="4" w:color="auto"/>
        </w:pBdr>
        <w:jc w:val="both"/>
      </w:pPr>
      <w:r>
        <w:t>Pour les sites internet proposant de tels travaux, l’arrêté précise également le lien de redirection et la formalisation de ce renvoi vers le site du service public de la performance énergétique de l’habitat.</w:t>
      </w:r>
    </w:p>
    <w:p w:rsidR="00B1207C" w:rsidRDefault="00B1207C" w:rsidP="00B1207C">
      <w:pPr>
        <w:pBdr>
          <w:left w:val="single" w:sz="4" w:space="4" w:color="auto"/>
        </w:pBdr>
        <w:jc w:val="both"/>
      </w:pPr>
    </w:p>
    <w:p w:rsidR="00B1207C" w:rsidRPr="00B1207C" w:rsidRDefault="00B1207C" w:rsidP="00B1207C">
      <w:pPr>
        <w:pStyle w:val="Textebrut"/>
        <w:pBdr>
          <w:left w:val="single" w:sz="4" w:space="4" w:color="auto"/>
        </w:pBdr>
        <w:jc w:val="both"/>
        <w:rPr>
          <w:i/>
        </w:rPr>
      </w:pPr>
      <w:hyperlink r:id="rId32" w:history="1">
        <w:r w:rsidRPr="00B1207C">
          <w:rPr>
            <w:rStyle w:val="Lienhypertexte"/>
            <w:b/>
            <w:i/>
            <w:color w:val="auto"/>
          </w:rPr>
          <w:t xml:space="preserve">Arrêté du 7 juillet 2026 </w:t>
        </w:r>
        <w:r w:rsidRPr="00B1207C">
          <w:rPr>
            <w:rStyle w:val="Lienhypertexte"/>
            <w:i/>
            <w:color w:val="auto"/>
          </w:rPr>
          <w:t>relatif à l'information sur l'existence et le rôle du service public de la performance énergétique de l'habitat dans les supports de promotion ou de publicité proposant des travaux de rénovation énergétique.</w:t>
        </w:r>
      </w:hyperlink>
    </w:p>
    <w:p w:rsidR="00B1207C" w:rsidRDefault="00B1207C" w:rsidP="00B1207C">
      <w:pPr>
        <w:pStyle w:val="Textebrut"/>
      </w:pPr>
    </w:p>
    <w:p w:rsidR="00B1207C" w:rsidRDefault="00B1207C" w:rsidP="00B1207C">
      <w:pPr>
        <w:pStyle w:val="Textebrut"/>
      </w:pPr>
    </w:p>
    <w:p w:rsidR="00B1207C" w:rsidRDefault="00B1207C" w:rsidP="00B1207C">
      <w:pPr>
        <w:pStyle w:val="Textebrut"/>
      </w:pPr>
    </w:p>
    <w:p w:rsidR="00B1207C" w:rsidRDefault="003777C7" w:rsidP="003777C7">
      <w:pPr>
        <w:pStyle w:val="Titre1"/>
      </w:pPr>
      <w:bookmarkStart w:id="16" w:name="_Toc236661816"/>
      <w:r>
        <w:t>Tarifs réglementés</w:t>
      </w:r>
      <w:bookmarkEnd w:id="16"/>
    </w:p>
    <w:p w:rsidR="007273DC" w:rsidRDefault="007273DC" w:rsidP="005D16CF"/>
    <w:p w:rsidR="004E1912" w:rsidRPr="004E1912" w:rsidRDefault="004E1912" w:rsidP="004E1912">
      <w:pPr>
        <w:pBdr>
          <w:left w:val="single" w:sz="4" w:space="4" w:color="auto"/>
        </w:pBdr>
        <w:jc w:val="both"/>
        <w:rPr>
          <w:b/>
        </w:rPr>
      </w:pPr>
      <w:r w:rsidRPr="004E1912">
        <w:rPr>
          <w:b/>
        </w:rPr>
        <w:sym w:font="Wingdings" w:char="F0E8"/>
      </w:r>
      <w:r w:rsidRPr="004E1912">
        <w:rPr>
          <w:b/>
        </w:rPr>
        <w:t xml:space="preserve"> </w:t>
      </w:r>
      <w:r w:rsidRPr="004E1912">
        <w:rPr>
          <w:b/>
        </w:rPr>
        <w:t>BARÈMES DES TARIFS RÉGLEMENTÉS DE VENTE D’ÉLECTRICITÉ APPLICABLES</w:t>
      </w:r>
      <w:r w:rsidRPr="004E1912">
        <w:rPr>
          <w:b/>
        </w:rPr>
        <w:t xml:space="preserve"> </w:t>
      </w:r>
      <w:r w:rsidRPr="004E1912">
        <w:rPr>
          <w:b/>
        </w:rPr>
        <w:t>DANS LES ZONES NON INTERCONNECTÉES AU RÉSEAU MÉTROPOLITAIN CONTINENTAL</w:t>
      </w:r>
    </w:p>
    <w:p w:rsidR="004E1912" w:rsidRDefault="004E1912" w:rsidP="004E1912">
      <w:pPr>
        <w:pBdr>
          <w:left w:val="single" w:sz="4" w:space="4" w:color="auto"/>
        </w:pBdr>
        <w:jc w:val="both"/>
      </w:pPr>
    </w:p>
    <w:p w:rsidR="004E1912" w:rsidRPr="004E1912" w:rsidRDefault="004E1912" w:rsidP="004E1912">
      <w:pPr>
        <w:pBdr>
          <w:left w:val="single" w:sz="4" w:space="4" w:color="auto"/>
        </w:pBdr>
        <w:jc w:val="both"/>
        <w:rPr>
          <w:i/>
        </w:rPr>
      </w:pPr>
      <w:hyperlink r:id="rId33" w:history="1">
        <w:r w:rsidRPr="004E1912">
          <w:rPr>
            <w:rStyle w:val="Lienhypertexte"/>
            <w:b/>
            <w:i/>
            <w:color w:val="auto"/>
          </w:rPr>
          <w:t>Arrêté du 29 juillet 2026</w:t>
        </w:r>
        <w:r w:rsidRPr="004E1912">
          <w:rPr>
            <w:rStyle w:val="Lienhypertexte"/>
            <w:i/>
            <w:color w:val="auto"/>
          </w:rPr>
          <w:t xml:space="preserve"> relatif aux tarifs réglementés de vente de l'électricité applicables dans les zones non interconnectées au réseau métropolitain continental.</w:t>
        </w:r>
      </w:hyperlink>
    </w:p>
    <w:p w:rsidR="004E1912" w:rsidRDefault="004E1912" w:rsidP="004E1912"/>
    <w:p w:rsidR="004E1912" w:rsidRDefault="004E1912" w:rsidP="004E1912"/>
    <w:p w:rsidR="00533241" w:rsidRDefault="00533241" w:rsidP="004E1912"/>
    <w:p w:rsidR="004E1912" w:rsidRPr="004E1912" w:rsidRDefault="004E1912" w:rsidP="004E1912">
      <w:pPr>
        <w:pBdr>
          <w:left w:val="single" w:sz="4" w:space="4" w:color="auto"/>
        </w:pBdr>
        <w:jc w:val="both"/>
        <w:rPr>
          <w:b/>
        </w:rPr>
      </w:pPr>
      <w:r w:rsidRPr="004E1912">
        <w:rPr>
          <w:b/>
        </w:rPr>
        <w:sym w:font="Wingdings" w:char="F0E8"/>
      </w:r>
      <w:r w:rsidRPr="004E1912">
        <w:rPr>
          <w:b/>
        </w:rPr>
        <w:t xml:space="preserve"> </w:t>
      </w:r>
      <w:r w:rsidRPr="004E1912">
        <w:rPr>
          <w:b/>
        </w:rPr>
        <w:t>BARÈMES DES TARIFS RÉGLEMENTÉS DE VENTE D’ÉLECTRICITÉ BLEUS APPLICABLES</w:t>
      </w:r>
      <w:r w:rsidRPr="004E1912">
        <w:rPr>
          <w:b/>
        </w:rPr>
        <w:t xml:space="preserve"> </w:t>
      </w:r>
      <w:r w:rsidRPr="004E1912">
        <w:rPr>
          <w:b/>
        </w:rPr>
        <w:t>AUX CONSOMMATEURS RÉSIDENTIELS EN FRANCE MÉTROPOLITAINE CONTINENTALE</w:t>
      </w:r>
    </w:p>
    <w:p w:rsidR="004E1912" w:rsidRDefault="004E1912" w:rsidP="004E1912">
      <w:pPr>
        <w:pBdr>
          <w:left w:val="single" w:sz="4" w:space="4" w:color="auto"/>
        </w:pBdr>
        <w:jc w:val="both"/>
      </w:pPr>
    </w:p>
    <w:p w:rsidR="004E1912" w:rsidRPr="004E1912" w:rsidRDefault="004E1912" w:rsidP="004E1912">
      <w:pPr>
        <w:pBdr>
          <w:left w:val="single" w:sz="4" w:space="4" w:color="auto"/>
        </w:pBdr>
        <w:jc w:val="both"/>
        <w:rPr>
          <w:i/>
        </w:rPr>
      </w:pPr>
      <w:hyperlink r:id="rId34" w:history="1">
        <w:r w:rsidRPr="004E1912">
          <w:rPr>
            <w:rStyle w:val="Lienhypertexte"/>
            <w:b/>
            <w:i/>
            <w:color w:val="auto"/>
          </w:rPr>
          <w:t xml:space="preserve">Décision du 29 juillet 2026 </w:t>
        </w:r>
        <w:r w:rsidRPr="004E1912">
          <w:rPr>
            <w:rStyle w:val="Lienhypertexte"/>
            <w:i/>
            <w:color w:val="auto"/>
          </w:rPr>
          <w:t>relative aux tarifs réglementés de vente de l'électricité applicables aux consommateurs résidentiels en France métropolitaine continentale.</w:t>
        </w:r>
      </w:hyperlink>
    </w:p>
    <w:p w:rsidR="004E1912" w:rsidRDefault="004E1912" w:rsidP="004E1912"/>
    <w:p w:rsidR="004E1912" w:rsidRDefault="004E1912" w:rsidP="004E1912"/>
    <w:p w:rsidR="00533241" w:rsidRDefault="00533241" w:rsidP="004E1912"/>
    <w:p w:rsidR="004E1912" w:rsidRDefault="004E1912" w:rsidP="004E1912">
      <w:pPr>
        <w:pBdr>
          <w:left w:val="single" w:sz="4" w:space="4" w:color="auto"/>
        </w:pBdr>
        <w:jc w:val="both"/>
      </w:pPr>
      <w:r>
        <w:lastRenderedPageBreak/>
        <w:sym w:font="Wingdings" w:char="F0E8"/>
      </w:r>
      <w:r>
        <w:t xml:space="preserve"> </w:t>
      </w:r>
      <w:r>
        <w:t>BARÈMES DES TARIFS RÉGLEMENTÉS DE VENTE D’ÉLECTRICITÉ BLEUS APPLICABLES</w:t>
      </w:r>
      <w:r>
        <w:t xml:space="preserve"> </w:t>
      </w:r>
      <w:r>
        <w:t>AUX CONSOMMATEURS NON RÉSIDENTIELS EN FRANCE MÉTROPOLITAINE CONTINENTALE</w:t>
      </w:r>
    </w:p>
    <w:p w:rsidR="004E1912" w:rsidRDefault="004E1912" w:rsidP="004E1912">
      <w:pPr>
        <w:pBdr>
          <w:left w:val="single" w:sz="4" w:space="4" w:color="auto"/>
        </w:pBdr>
        <w:jc w:val="both"/>
      </w:pPr>
    </w:p>
    <w:p w:rsidR="004E1912" w:rsidRPr="004E1912" w:rsidRDefault="004E1912" w:rsidP="004E1912">
      <w:pPr>
        <w:pBdr>
          <w:left w:val="single" w:sz="4" w:space="4" w:color="auto"/>
        </w:pBdr>
        <w:jc w:val="both"/>
        <w:rPr>
          <w:i/>
        </w:rPr>
      </w:pPr>
      <w:hyperlink r:id="rId35" w:history="1">
        <w:r w:rsidRPr="004E1912">
          <w:rPr>
            <w:rStyle w:val="Lienhypertexte"/>
            <w:b/>
            <w:i/>
            <w:color w:val="auto"/>
          </w:rPr>
          <w:t>Décision du 29 juillet 2026</w:t>
        </w:r>
        <w:r w:rsidRPr="004E1912">
          <w:rPr>
            <w:rStyle w:val="Lienhypertexte"/>
            <w:i/>
            <w:color w:val="auto"/>
          </w:rPr>
          <w:t xml:space="preserve"> relative aux tarifs réglementés de vente de l'électricité applicables aux consommateurs non résidentiels en France métropolitaine continentale.</w:t>
        </w:r>
      </w:hyperlink>
    </w:p>
    <w:p w:rsidR="004E1912" w:rsidRDefault="004E1912" w:rsidP="004E1912"/>
    <w:p w:rsidR="00533241" w:rsidRDefault="00533241" w:rsidP="004E1912"/>
    <w:p w:rsidR="00533241" w:rsidRDefault="00533241" w:rsidP="004E1912"/>
    <w:p w:rsidR="004E1912" w:rsidRDefault="00B83016" w:rsidP="00B83016">
      <w:pPr>
        <w:pBdr>
          <w:left w:val="single" w:sz="4" w:space="4" w:color="auto"/>
        </w:pBdr>
        <w:jc w:val="both"/>
      </w:pPr>
      <w:r>
        <w:sym w:font="Wingdings" w:char="F0E8"/>
      </w:r>
      <w:r>
        <w:t xml:space="preserve"> </w:t>
      </w:r>
      <w:r w:rsidRPr="00B83016">
        <w:rPr>
          <w:b/>
        </w:rPr>
        <w:t>BARÈMES DES TARIFS RÉGLEMENTÉS DE VENTE D’ÉLECTRICITÉ JAUNES ET VERTS APPLICABLES AUX CONSOMMATEURS EN FRANCE MÉTROPOLITAINE CONTINENTALE</w:t>
      </w:r>
      <w:r>
        <w:t xml:space="preserve"> </w:t>
      </w:r>
      <w:r w:rsidR="004E1912">
        <w:t xml:space="preserve">        </w:t>
      </w:r>
    </w:p>
    <w:p w:rsidR="00B83016" w:rsidRDefault="00B83016" w:rsidP="00B83016">
      <w:pPr>
        <w:pBdr>
          <w:left w:val="single" w:sz="4" w:space="4" w:color="auto"/>
        </w:pBdr>
        <w:jc w:val="both"/>
      </w:pPr>
    </w:p>
    <w:p w:rsidR="004E1912" w:rsidRPr="00B83016" w:rsidRDefault="00B83016" w:rsidP="00B83016">
      <w:pPr>
        <w:pBdr>
          <w:left w:val="single" w:sz="4" w:space="4" w:color="auto"/>
        </w:pBdr>
        <w:jc w:val="both"/>
        <w:rPr>
          <w:i/>
        </w:rPr>
      </w:pPr>
      <w:hyperlink r:id="rId36" w:history="1">
        <w:r w:rsidR="004E1912" w:rsidRPr="00B83016">
          <w:rPr>
            <w:rStyle w:val="Lienhypertexte"/>
            <w:b/>
            <w:i/>
            <w:color w:val="auto"/>
          </w:rPr>
          <w:t>Décision du 29 juillet 2026</w:t>
        </w:r>
        <w:r w:rsidR="004E1912" w:rsidRPr="00B83016">
          <w:rPr>
            <w:rStyle w:val="Lienhypertexte"/>
            <w:i/>
            <w:color w:val="auto"/>
          </w:rPr>
          <w:t xml:space="preserve"> relative aux tarifs réglementés de vente de l'électricité Jaunes et Verts applicables aux consommateurs en France métropolitaine continentale</w:t>
        </w:r>
        <w:r w:rsidRPr="00B83016">
          <w:rPr>
            <w:rStyle w:val="Lienhypertexte"/>
            <w:i/>
            <w:color w:val="auto"/>
          </w:rPr>
          <w:t>.</w:t>
        </w:r>
      </w:hyperlink>
    </w:p>
    <w:p w:rsidR="00B83016" w:rsidRDefault="00B83016" w:rsidP="004E1912"/>
    <w:p w:rsidR="00B83016" w:rsidRDefault="00B83016" w:rsidP="004E1912"/>
    <w:p w:rsidR="00533241" w:rsidRDefault="00533241" w:rsidP="004E1912"/>
    <w:p w:rsidR="005138C3" w:rsidRPr="00F014AB" w:rsidRDefault="005138C3" w:rsidP="00F014AB">
      <w:pPr>
        <w:pBdr>
          <w:left w:val="single" w:sz="4" w:space="4" w:color="auto"/>
        </w:pBdr>
        <w:jc w:val="both"/>
        <w:rPr>
          <w:b/>
        </w:rPr>
      </w:pPr>
      <w:r w:rsidRPr="00F014AB">
        <w:rPr>
          <w:b/>
        </w:rPr>
        <w:sym w:font="Wingdings" w:char="F0E8"/>
      </w:r>
      <w:r w:rsidRPr="00F014AB">
        <w:rPr>
          <w:b/>
        </w:rPr>
        <w:t xml:space="preserve"> </w:t>
      </w:r>
      <w:r w:rsidR="00F014AB" w:rsidRPr="00F014AB">
        <w:rPr>
          <w:b/>
        </w:rPr>
        <w:t>BARÈMES DES TARIFS DE CESSION</w:t>
      </w:r>
    </w:p>
    <w:p w:rsidR="004E1912" w:rsidRDefault="004E1912" w:rsidP="00F014AB">
      <w:pPr>
        <w:pBdr>
          <w:left w:val="single" w:sz="4" w:space="4" w:color="auto"/>
        </w:pBdr>
        <w:jc w:val="both"/>
      </w:pPr>
    </w:p>
    <w:p w:rsidR="004E1912" w:rsidRPr="005138C3" w:rsidRDefault="005138C3" w:rsidP="00F014AB">
      <w:pPr>
        <w:pBdr>
          <w:left w:val="single" w:sz="4" w:space="4" w:color="auto"/>
        </w:pBdr>
        <w:jc w:val="both"/>
        <w:rPr>
          <w:i/>
        </w:rPr>
      </w:pPr>
      <w:hyperlink r:id="rId37" w:history="1">
        <w:r w:rsidR="004E1912" w:rsidRPr="005138C3">
          <w:rPr>
            <w:rStyle w:val="Lienhypertexte"/>
            <w:b/>
            <w:i/>
            <w:color w:val="auto"/>
          </w:rPr>
          <w:t>Décision du 29 juillet 2026</w:t>
        </w:r>
        <w:r w:rsidR="004E1912" w:rsidRPr="005138C3">
          <w:rPr>
            <w:rStyle w:val="Lienhypertexte"/>
            <w:i/>
            <w:color w:val="auto"/>
          </w:rPr>
          <w:t xml:space="preserve"> relative aux tarifs de cession de l'électricité aux entreprises locales de distribution</w:t>
        </w:r>
        <w:r w:rsidRPr="005138C3">
          <w:rPr>
            <w:rStyle w:val="Lienhypertexte"/>
            <w:i/>
            <w:color w:val="auto"/>
          </w:rPr>
          <w:t>.</w:t>
        </w:r>
      </w:hyperlink>
    </w:p>
    <w:p w:rsidR="005138C3" w:rsidRDefault="005138C3" w:rsidP="004E1912"/>
    <w:p w:rsidR="005138C3" w:rsidRDefault="005138C3" w:rsidP="004E1912"/>
    <w:p w:rsidR="007273DC" w:rsidRPr="005D16CF" w:rsidRDefault="007273DC" w:rsidP="005D16CF"/>
    <w:p w:rsidR="00347591" w:rsidRDefault="00347591" w:rsidP="00347591">
      <w:pPr>
        <w:pStyle w:val="Titre1"/>
      </w:pPr>
      <w:bookmarkStart w:id="17" w:name="_Toc236661817"/>
      <w:r>
        <w:t>Transport</w:t>
      </w:r>
      <w:bookmarkEnd w:id="17"/>
    </w:p>
    <w:p w:rsidR="00286D24" w:rsidRDefault="00286D24" w:rsidP="00AB3812">
      <w:pPr>
        <w:pStyle w:val="Textebrut"/>
      </w:pPr>
    </w:p>
    <w:p w:rsidR="005F76CC" w:rsidRPr="005F76CC" w:rsidRDefault="005F76CC" w:rsidP="005F76CC">
      <w:pPr>
        <w:pStyle w:val="Textebrut"/>
        <w:pBdr>
          <w:left w:val="single" w:sz="4" w:space="4" w:color="auto"/>
        </w:pBdr>
        <w:jc w:val="both"/>
        <w:rPr>
          <w:b/>
        </w:rPr>
      </w:pPr>
      <w:r w:rsidRPr="005F76CC">
        <w:rPr>
          <w:b/>
        </w:rPr>
        <w:sym w:font="Wingdings" w:char="F0E8"/>
      </w:r>
      <w:r w:rsidRPr="005F76CC">
        <w:rPr>
          <w:b/>
        </w:rPr>
        <w:t xml:space="preserve"> Liste des versions de voitures particulières électriques ayant atteint le score environnemental minimal</w:t>
      </w:r>
    </w:p>
    <w:p w:rsidR="005F76CC" w:rsidRDefault="005F76CC" w:rsidP="005F76CC">
      <w:pPr>
        <w:pStyle w:val="Textebrut"/>
        <w:pBdr>
          <w:left w:val="single" w:sz="4" w:space="4" w:color="auto"/>
        </w:pBdr>
        <w:jc w:val="both"/>
      </w:pPr>
    </w:p>
    <w:p w:rsidR="005F76CC" w:rsidRPr="005F76CC" w:rsidRDefault="005A70CE" w:rsidP="005F76CC">
      <w:pPr>
        <w:pStyle w:val="Textebrut"/>
        <w:pBdr>
          <w:left w:val="single" w:sz="4" w:space="4" w:color="auto"/>
        </w:pBdr>
        <w:jc w:val="both"/>
        <w:rPr>
          <w:i/>
        </w:rPr>
      </w:pPr>
      <w:hyperlink r:id="rId38" w:history="1">
        <w:r w:rsidR="005F76CC" w:rsidRPr="005F76CC">
          <w:rPr>
            <w:rStyle w:val="Lienhypertexte"/>
            <w:b/>
            <w:i/>
            <w:color w:val="auto"/>
          </w:rPr>
          <w:t xml:space="preserve">Arrêté du 15 juillet 2026 </w:t>
        </w:r>
        <w:r w:rsidR="005F76CC" w:rsidRPr="005F76CC">
          <w:rPr>
            <w:rStyle w:val="Lienhypertexte"/>
            <w:i/>
            <w:color w:val="auto"/>
          </w:rPr>
          <w:t>modifiant l'arrêté du 14 décembre 2023 fixant la liste des versions de voitures particulières électriques ayant atteint le score environnemental minimal conditionnant l'éligibilité à certaines aides à l'achat ou à la location de véhicules peu polluants.</w:t>
        </w:r>
      </w:hyperlink>
    </w:p>
    <w:p w:rsidR="005F76CC" w:rsidRDefault="005F76CC" w:rsidP="005F76CC">
      <w:pPr>
        <w:pStyle w:val="Textebrut"/>
      </w:pPr>
    </w:p>
    <w:p w:rsidR="005F76CC" w:rsidRDefault="005F76CC" w:rsidP="005F76CC">
      <w:pPr>
        <w:pStyle w:val="Textebrut"/>
      </w:pPr>
    </w:p>
    <w:p w:rsidR="00533241" w:rsidRDefault="00533241" w:rsidP="005F76CC">
      <w:pPr>
        <w:pStyle w:val="Textebrut"/>
      </w:pPr>
    </w:p>
    <w:p w:rsidR="005F76CC" w:rsidRPr="00773815" w:rsidRDefault="00773815" w:rsidP="00773815">
      <w:pPr>
        <w:pStyle w:val="Textebrut"/>
        <w:pBdr>
          <w:left w:val="single" w:sz="4" w:space="4" w:color="auto"/>
        </w:pBdr>
        <w:rPr>
          <w:b/>
        </w:rPr>
      </w:pPr>
      <w:r w:rsidRPr="00773815">
        <w:rPr>
          <w:b/>
        </w:rPr>
        <w:sym w:font="Wingdings" w:char="F0E8"/>
      </w:r>
      <w:r w:rsidRPr="00773815">
        <w:rPr>
          <w:b/>
        </w:rPr>
        <w:t xml:space="preserve"> T</w:t>
      </w:r>
      <w:r w:rsidRPr="00773815">
        <w:rPr>
          <w:b/>
        </w:rPr>
        <w:t>axe incitative relative à l’utilisation d’énergie renouvelable dans les transports</w:t>
      </w:r>
    </w:p>
    <w:p w:rsidR="00773815" w:rsidRDefault="00773815" w:rsidP="00773815">
      <w:pPr>
        <w:pStyle w:val="Textebrut"/>
        <w:pBdr>
          <w:left w:val="single" w:sz="4" w:space="4" w:color="auto"/>
        </w:pBdr>
      </w:pPr>
    </w:p>
    <w:p w:rsidR="00773815" w:rsidRPr="00773815" w:rsidRDefault="00773815" w:rsidP="00773815">
      <w:pPr>
        <w:pStyle w:val="Textebrut"/>
        <w:pBdr>
          <w:left w:val="single" w:sz="4" w:space="4" w:color="auto"/>
        </w:pBdr>
        <w:rPr>
          <w:i/>
        </w:rPr>
      </w:pPr>
      <w:hyperlink r:id="rId39" w:history="1">
        <w:r w:rsidRPr="00773815">
          <w:rPr>
            <w:rStyle w:val="Lienhypertexte"/>
            <w:b/>
            <w:i/>
            <w:color w:val="auto"/>
          </w:rPr>
          <w:t>Décret n° 2026-703 du 30 juillet 2026</w:t>
        </w:r>
        <w:r w:rsidRPr="00773815">
          <w:rPr>
            <w:rStyle w:val="Lienhypertexte"/>
            <w:i/>
            <w:color w:val="auto"/>
          </w:rPr>
          <w:t xml:space="preserve"> modifiant le décret n° 2019-570 du 7 juin 2019 portant sur la taxe incitative relative à l'utilisation d'énergie renouvelable dans les transports.</w:t>
        </w:r>
      </w:hyperlink>
    </w:p>
    <w:p w:rsidR="00773815" w:rsidRDefault="00773815" w:rsidP="005F76CC">
      <w:pPr>
        <w:pStyle w:val="Textebrut"/>
      </w:pPr>
    </w:p>
    <w:p w:rsidR="00730C0A" w:rsidRDefault="00730C0A" w:rsidP="00730C0A">
      <w:pPr>
        <w:pStyle w:val="Textebrut"/>
      </w:pPr>
    </w:p>
    <w:p w:rsidR="00F168B5" w:rsidRDefault="00F168B5" w:rsidP="00782ED4">
      <w:pPr>
        <w:pStyle w:val="Textebrut"/>
      </w:pPr>
      <w:bookmarkStart w:id="18" w:name="_GoBack"/>
      <w:bookmarkEnd w:id="18"/>
    </w:p>
    <w:sectPr w:rsidR="00F168B5">
      <w:foot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6480" w:rsidRDefault="002A6480" w:rsidP="00D92460">
      <w:r>
        <w:separator/>
      </w:r>
    </w:p>
  </w:endnote>
  <w:endnote w:type="continuationSeparator" w:id="0">
    <w:p w:rsidR="002A6480" w:rsidRDefault="002A6480" w:rsidP="00D92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3491846"/>
      <w:docPartObj>
        <w:docPartGallery w:val="Page Numbers (Bottom of Page)"/>
        <w:docPartUnique/>
      </w:docPartObj>
    </w:sdtPr>
    <w:sdtEndPr/>
    <w:sdtContent>
      <w:p w:rsidR="00D92460" w:rsidRDefault="00D92460">
        <w:pPr>
          <w:pStyle w:val="Pieddepage"/>
          <w:jc w:val="right"/>
        </w:pPr>
        <w:r>
          <w:fldChar w:fldCharType="begin"/>
        </w:r>
        <w:r>
          <w:instrText>PAGE   \* MERGEFORMAT</w:instrText>
        </w:r>
        <w:r>
          <w:fldChar w:fldCharType="separate"/>
        </w:r>
        <w:r>
          <w:t>2</w:t>
        </w:r>
        <w:r>
          <w:fldChar w:fldCharType="end"/>
        </w:r>
      </w:p>
    </w:sdtContent>
  </w:sdt>
  <w:p w:rsidR="00D92460" w:rsidRDefault="00D924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6480" w:rsidRDefault="002A6480" w:rsidP="00D92460">
      <w:r>
        <w:separator/>
      </w:r>
    </w:p>
  </w:footnote>
  <w:footnote w:type="continuationSeparator" w:id="0">
    <w:p w:rsidR="002A6480" w:rsidRDefault="002A6480" w:rsidP="00D92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43662"/>
    <w:multiLevelType w:val="hybridMultilevel"/>
    <w:tmpl w:val="9B8A9D78"/>
    <w:lvl w:ilvl="0" w:tplc="36887A5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FF8495E"/>
    <w:multiLevelType w:val="hybridMultilevel"/>
    <w:tmpl w:val="C9E4DC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11B6CF2"/>
    <w:multiLevelType w:val="hybridMultilevel"/>
    <w:tmpl w:val="B4964D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3D468FD"/>
    <w:multiLevelType w:val="hybridMultilevel"/>
    <w:tmpl w:val="1C38E9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7D56FE"/>
    <w:multiLevelType w:val="hybridMultilevel"/>
    <w:tmpl w:val="23E43B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BF91F3D"/>
    <w:multiLevelType w:val="hybridMultilevel"/>
    <w:tmpl w:val="4662A7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A683F19"/>
    <w:multiLevelType w:val="hybridMultilevel"/>
    <w:tmpl w:val="C1C64024"/>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num w:numId="1">
    <w:abstractNumId w:val="4"/>
  </w:num>
  <w:num w:numId="2">
    <w:abstractNumId w:val="6"/>
  </w:num>
  <w:num w:numId="3">
    <w:abstractNumId w:val="0"/>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104"/>
    <w:rsid w:val="000114B8"/>
    <w:rsid w:val="000223C2"/>
    <w:rsid w:val="00030058"/>
    <w:rsid w:val="00030DDB"/>
    <w:rsid w:val="00034699"/>
    <w:rsid w:val="00034FEA"/>
    <w:rsid w:val="0003562B"/>
    <w:rsid w:val="000421A9"/>
    <w:rsid w:val="00045C0D"/>
    <w:rsid w:val="000508E4"/>
    <w:rsid w:val="0006248D"/>
    <w:rsid w:val="00072236"/>
    <w:rsid w:val="00073F6B"/>
    <w:rsid w:val="00077DC6"/>
    <w:rsid w:val="00081ACE"/>
    <w:rsid w:val="0008225C"/>
    <w:rsid w:val="00090AAB"/>
    <w:rsid w:val="000B7764"/>
    <w:rsid w:val="000B7DE0"/>
    <w:rsid w:val="000D0BE1"/>
    <w:rsid w:val="000D2006"/>
    <w:rsid w:val="000D5928"/>
    <w:rsid w:val="000D61C5"/>
    <w:rsid w:val="000E106E"/>
    <w:rsid w:val="000E3A76"/>
    <w:rsid w:val="000E6286"/>
    <w:rsid w:val="000F0F73"/>
    <w:rsid w:val="00103CF2"/>
    <w:rsid w:val="0010578C"/>
    <w:rsid w:val="00113B26"/>
    <w:rsid w:val="00114B69"/>
    <w:rsid w:val="0012040C"/>
    <w:rsid w:val="00123886"/>
    <w:rsid w:val="00124168"/>
    <w:rsid w:val="00137481"/>
    <w:rsid w:val="0015167C"/>
    <w:rsid w:val="001560E5"/>
    <w:rsid w:val="00156DA4"/>
    <w:rsid w:val="001570C9"/>
    <w:rsid w:val="00180540"/>
    <w:rsid w:val="0018306E"/>
    <w:rsid w:val="001A0211"/>
    <w:rsid w:val="001A3B44"/>
    <w:rsid w:val="001A56CB"/>
    <w:rsid w:val="001E2E01"/>
    <w:rsid w:val="001F1AEB"/>
    <w:rsid w:val="00206033"/>
    <w:rsid w:val="002212A2"/>
    <w:rsid w:val="00221372"/>
    <w:rsid w:val="00225435"/>
    <w:rsid w:val="00230DD5"/>
    <w:rsid w:val="002514C0"/>
    <w:rsid w:val="00260921"/>
    <w:rsid w:val="002609E9"/>
    <w:rsid w:val="002654A1"/>
    <w:rsid w:val="00274626"/>
    <w:rsid w:val="00286D24"/>
    <w:rsid w:val="00291138"/>
    <w:rsid w:val="0029314D"/>
    <w:rsid w:val="002959F3"/>
    <w:rsid w:val="00296C4A"/>
    <w:rsid w:val="00297934"/>
    <w:rsid w:val="002A6480"/>
    <w:rsid w:val="002A6584"/>
    <w:rsid w:val="002B2D22"/>
    <w:rsid w:val="002D13E3"/>
    <w:rsid w:val="002E1B81"/>
    <w:rsid w:val="002E23C7"/>
    <w:rsid w:val="002E326B"/>
    <w:rsid w:val="002E5509"/>
    <w:rsid w:val="002E7BA9"/>
    <w:rsid w:val="002F3015"/>
    <w:rsid w:val="002F76A3"/>
    <w:rsid w:val="00301420"/>
    <w:rsid w:val="00310393"/>
    <w:rsid w:val="0031157D"/>
    <w:rsid w:val="003206BC"/>
    <w:rsid w:val="003266F6"/>
    <w:rsid w:val="0032730B"/>
    <w:rsid w:val="0033064E"/>
    <w:rsid w:val="0034400F"/>
    <w:rsid w:val="0034625F"/>
    <w:rsid w:val="00347591"/>
    <w:rsid w:val="0035131B"/>
    <w:rsid w:val="003568F7"/>
    <w:rsid w:val="00370EF4"/>
    <w:rsid w:val="00371CF4"/>
    <w:rsid w:val="00372564"/>
    <w:rsid w:val="003777C7"/>
    <w:rsid w:val="00382328"/>
    <w:rsid w:val="0038708F"/>
    <w:rsid w:val="00392040"/>
    <w:rsid w:val="0039532D"/>
    <w:rsid w:val="003B61AA"/>
    <w:rsid w:val="003C3E72"/>
    <w:rsid w:val="003D19D4"/>
    <w:rsid w:val="003E2691"/>
    <w:rsid w:val="003E6E14"/>
    <w:rsid w:val="003E7F35"/>
    <w:rsid w:val="003F69AD"/>
    <w:rsid w:val="00400C03"/>
    <w:rsid w:val="00401B8C"/>
    <w:rsid w:val="004066E9"/>
    <w:rsid w:val="00411AB5"/>
    <w:rsid w:val="0041288A"/>
    <w:rsid w:val="00415243"/>
    <w:rsid w:val="00424F07"/>
    <w:rsid w:val="00437F2F"/>
    <w:rsid w:val="00441173"/>
    <w:rsid w:val="00453E7A"/>
    <w:rsid w:val="00454219"/>
    <w:rsid w:val="00455BD6"/>
    <w:rsid w:val="00457DE2"/>
    <w:rsid w:val="004668E0"/>
    <w:rsid w:val="00480288"/>
    <w:rsid w:val="00481309"/>
    <w:rsid w:val="004850A0"/>
    <w:rsid w:val="004931E3"/>
    <w:rsid w:val="004A2CCC"/>
    <w:rsid w:val="004B031C"/>
    <w:rsid w:val="004B5064"/>
    <w:rsid w:val="004B52CB"/>
    <w:rsid w:val="004B6792"/>
    <w:rsid w:val="004C269B"/>
    <w:rsid w:val="004D29A0"/>
    <w:rsid w:val="004D5A75"/>
    <w:rsid w:val="004E1912"/>
    <w:rsid w:val="004F451F"/>
    <w:rsid w:val="00500DBC"/>
    <w:rsid w:val="0050365C"/>
    <w:rsid w:val="005138C3"/>
    <w:rsid w:val="0051788E"/>
    <w:rsid w:val="00530806"/>
    <w:rsid w:val="00533241"/>
    <w:rsid w:val="00533C21"/>
    <w:rsid w:val="005372EA"/>
    <w:rsid w:val="00541617"/>
    <w:rsid w:val="00553349"/>
    <w:rsid w:val="005655EE"/>
    <w:rsid w:val="005727C1"/>
    <w:rsid w:val="00575129"/>
    <w:rsid w:val="00596054"/>
    <w:rsid w:val="00597FBD"/>
    <w:rsid w:val="005A00B8"/>
    <w:rsid w:val="005A47D9"/>
    <w:rsid w:val="005A70CE"/>
    <w:rsid w:val="005B5C5F"/>
    <w:rsid w:val="005C5310"/>
    <w:rsid w:val="005D0C46"/>
    <w:rsid w:val="005D16CF"/>
    <w:rsid w:val="005D18AC"/>
    <w:rsid w:val="005D3A57"/>
    <w:rsid w:val="005E2FB0"/>
    <w:rsid w:val="005E7ED0"/>
    <w:rsid w:val="005F42E8"/>
    <w:rsid w:val="005F6147"/>
    <w:rsid w:val="005F76CC"/>
    <w:rsid w:val="0060133B"/>
    <w:rsid w:val="006035EB"/>
    <w:rsid w:val="00607D71"/>
    <w:rsid w:val="00615302"/>
    <w:rsid w:val="00615956"/>
    <w:rsid w:val="006166C5"/>
    <w:rsid w:val="006247DD"/>
    <w:rsid w:val="006353BE"/>
    <w:rsid w:val="00642876"/>
    <w:rsid w:val="006442C3"/>
    <w:rsid w:val="00644658"/>
    <w:rsid w:val="006466F5"/>
    <w:rsid w:val="00653AFD"/>
    <w:rsid w:val="0065702D"/>
    <w:rsid w:val="006678DA"/>
    <w:rsid w:val="00673ABD"/>
    <w:rsid w:val="0067563F"/>
    <w:rsid w:val="00675BDB"/>
    <w:rsid w:val="006921A2"/>
    <w:rsid w:val="006A1C2E"/>
    <w:rsid w:val="006A598E"/>
    <w:rsid w:val="006B2E06"/>
    <w:rsid w:val="006B497E"/>
    <w:rsid w:val="006C11D0"/>
    <w:rsid w:val="006C28FC"/>
    <w:rsid w:val="006C65A9"/>
    <w:rsid w:val="006E2F58"/>
    <w:rsid w:val="00705ABC"/>
    <w:rsid w:val="00715322"/>
    <w:rsid w:val="00715697"/>
    <w:rsid w:val="00717478"/>
    <w:rsid w:val="00717692"/>
    <w:rsid w:val="00723262"/>
    <w:rsid w:val="0072405E"/>
    <w:rsid w:val="007273DC"/>
    <w:rsid w:val="00730C0A"/>
    <w:rsid w:val="00731C35"/>
    <w:rsid w:val="00734752"/>
    <w:rsid w:val="00736A33"/>
    <w:rsid w:val="00754ED5"/>
    <w:rsid w:val="00755C94"/>
    <w:rsid w:val="007610CF"/>
    <w:rsid w:val="00762EF4"/>
    <w:rsid w:val="00773815"/>
    <w:rsid w:val="00775629"/>
    <w:rsid w:val="00776855"/>
    <w:rsid w:val="007768D6"/>
    <w:rsid w:val="00782ED4"/>
    <w:rsid w:val="00795142"/>
    <w:rsid w:val="007A6590"/>
    <w:rsid w:val="007B3587"/>
    <w:rsid w:val="007B45FA"/>
    <w:rsid w:val="007B69D8"/>
    <w:rsid w:val="007C1254"/>
    <w:rsid w:val="007C563A"/>
    <w:rsid w:val="007D3F89"/>
    <w:rsid w:val="007E695A"/>
    <w:rsid w:val="007E7380"/>
    <w:rsid w:val="007F48EF"/>
    <w:rsid w:val="008044BB"/>
    <w:rsid w:val="0081174C"/>
    <w:rsid w:val="00824363"/>
    <w:rsid w:val="0082569B"/>
    <w:rsid w:val="00825B44"/>
    <w:rsid w:val="00825F88"/>
    <w:rsid w:val="008300FA"/>
    <w:rsid w:val="00832C75"/>
    <w:rsid w:val="00837A80"/>
    <w:rsid w:val="00845A70"/>
    <w:rsid w:val="008635C3"/>
    <w:rsid w:val="00866343"/>
    <w:rsid w:val="00896AE7"/>
    <w:rsid w:val="008A0D83"/>
    <w:rsid w:val="008A2145"/>
    <w:rsid w:val="008B0666"/>
    <w:rsid w:val="008B56FF"/>
    <w:rsid w:val="008B6AE3"/>
    <w:rsid w:val="008B77B8"/>
    <w:rsid w:val="008C1373"/>
    <w:rsid w:val="008C67D9"/>
    <w:rsid w:val="008D134C"/>
    <w:rsid w:val="008E0FEF"/>
    <w:rsid w:val="008E179E"/>
    <w:rsid w:val="008F1A2B"/>
    <w:rsid w:val="008F2EFB"/>
    <w:rsid w:val="008F30E9"/>
    <w:rsid w:val="008F5210"/>
    <w:rsid w:val="008F78E8"/>
    <w:rsid w:val="00906028"/>
    <w:rsid w:val="0091047E"/>
    <w:rsid w:val="00927EF1"/>
    <w:rsid w:val="00930789"/>
    <w:rsid w:val="00931773"/>
    <w:rsid w:val="00954731"/>
    <w:rsid w:val="00961C26"/>
    <w:rsid w:val="00964BD0"/>
    <w:rsid w:val="00965B05"/>
    <w:rsid w:val="009716B5"/>
    <w:rsid w:val="00976D68"/>
    <w:rsid w:val="0098358D"/>
    <w:rsid w:val="00993BDD"/>
    <w:rsid w:val="00996BB3"/>
    <w:rsid w:val="009A58DA"/>
    <w:rsid w:val="009B085D"/>
    <w:rsid w:val="009C28BC"/>
    <w:rsid w:val="009C28F4"/>
    <w:rsid w:val="009C37E8"/>
    <w:rsid w:val="009C4668"/>
    <w:rsid w:val="009F03E4"/>
    <w:rsid w:val="009F4ED6"/>
    <w:rsid w:val="00A02C58"/>
    <w:rsid w:val="00A02DC3"/>
    <w:rsid w:val="00A05488"/>
    <w:rsid w:val="00A114C5"/>
    <w:rsid w:val="00A14DB6"/>
    <w:rsid w:val="00A165BE"/>
    <w:rsid w:val="00A2504C"/>
    <w:rsid w:val="00A27679"/>
    <w:rsid w:val="00A34FB9"/>
    <w:rsid w:val="00A43048"/>
    <w:rsid w:val="00A5598C"/>
    <w:rsid w:val="00A564CA"/>
    <w:rsid w:val="00A670E8"/>
    <w:rsid w:val="00A67E1F"/>
    <w:rsid w:val="00A71AE3"/>
    <w:rsid w:val="00A8077E"/>
    <w:rsid w:val="00A82C7F"/>
    <w:rsid w:val="00A84207"/>
    <w:rsid w:val="00A85E13"/>
    <w:rsid w:val="00A948A6"/>
    <w:rsid w:val="00A96A2B"/>
    <w:rsid w:val="00AA057A"/>
    <w:rsid w:val="00AA3B2D"/>
    <w:rsid w:val="00AA6161"/>
    <w:rsid w:val="00AA77E4"/>
    <w:rsid w:val="00AB3812"/>
    <w:rsid w:val="00AB39E8"/>
    <w:rsid w:val="00AB6FA7"/>
    <w:rsid w:val="00AC492F"/>
    <w:rsid w:val="00AD4C83"/>
    <w:rsid w:val="00AE038B"/>
    <w:rsid w:val="00AE347F"/>
    <w:rsid w:val="00B02917"/>
    <w:rsid w:val="00B10DFB"/>
    <w:rsid w:val="00B11543"/>
    <w:rsid w:val="00B1207C"/>
    <w:rsid w:val="00B12CCD"/>
    <w:rsid w:val="00B25009"/>
    <w:rsid w:val="00B27864"/>
    <w:rsid w:val="00B464C5"/>
    <w:rsid w:val="00B46E94"/>
    <w:rsid w:val="00B47474"/>
    <w:rsid w:val="00B47686"/>
    <w:rsid w:val="00B565C0"/>
    <w:rsid w:val="00B65D9B"/>
    <w:rsid w:val="00B772CD"/>
    <w:rsid w:val="00B83016"/>
    <w:rsid w:val="00B90A8B"/>
    <w:rsid w:val="00B91B37"/>
    <w:rsid w:val="00B94446"/>
    <w:rsid w:val="00BA19A6"/>
    <w:rsid w:val="00BB6423"/>
    <w:rsid w:val="00BC627C"/>
    <w:rsid w:val="00BE7308"/>
    <w:rsid w:val="00BF4A50"/>
    <w:rsid w:val="00C010F4"/>
    <w:rsid w:val="00C155E0"/>
    <w:rsid w:val="00C179C1"/>
    <w:rsid w:val="00C22661"/>
    <w:rsid w:val="00C22F0F"/>
    <w:rsid w:val="00C2386A"/>
    <w:rsid w:val="00C2454D"/>
    <w:rsid w:val="00C25958"/>
    <w:rsid w:val="00C372F7"/>
    <w:rsid w:val="00C375E9"/>
    <w:rsid w:val="00C437B0"/>
    <w:rsid w:val="00C44074"/>
    <w:rsid w:val="00C442EE"/>
    <w:rsid w:val="00C464CB"/>
    <w:rsid w:val="00C556A8"/>
    <w:rsid w:val="00C763B6"/>
    <w:rsid w:val="00C962C0"/>
    <w:rsid w:val="00C96CAE"/>
    <w:rsid w:val="00CC1744"/>
    <w:rsid w:val="00CC49D3"/>
    <w:rsid w:val="00CC533C"/>
    <w:rsid w:val="00CC7F88"/>
    <w:rsid w:val="00CE7C43"/>
    <w:rsid w:val="00CF70B7"/>
    <w:rsid w:val="00D00482"/>
    <w:rsid w:val="00D11C86"/>
    <w:rsid w:val="00D16153"/>
    <w:rsid w:val="00D161F2"/>
    <w:rsid w:val="00D3085B"/>
    <w:rsid w:val="00D30903"/>
    <w:rsid w:val="00D37A3C"/>
    <w:rsid w:val="00D42115"/>
    <w:rsid w:val="00D42D83"/>
    <w:rsid w:val="00D4415A"/>
    <w:rsid w:val="00D44FDC"/>
    <w:rsid w:val="00D46C0D"/>
    <w:rsid w:val="00D53540"/>
    <w:rsid w:val="00D557AC"/>
    <w:rsid w:val="00D745E1"/>
    <w:rsid w:val="00D75952"/>
    <w:rsid w:val="00D8438E"/>
    <w:rsid w:val="00D87305"/>
    <w:rsid w:val="00D90B90"/>
    <w:rsid w:val="00D92460"/>
    <w:rsid w:val="00DA337D"/>
    <w:rsid w:val="00DA3CA3"/>
    <w:rsid w:val="00DA6A0A"/>
    <w:rsid w:val="00DB1B10"/>
    <w:rsid w:val="00DB1EAE"/>
    <w:rsid w:val="00DB6477"/>
    <w:rsid w:val="00DB7AB2"/>
    <w:rsid w:val="00DC0BB1"/>
    <w:rsid w:val="00DC153A"/>
    <w:rsid w:val="00DC302A"/>
    <w:rsid w:val="00DD1675"/>
    <w:rsid w:val="00DD429A"/>
    <w:rsid w:val="00DF6F60"/>
    <w:rsid w:val="00E008B1"/>
    <w:rsid w:val="00E065BC"/>
    <w:rsid w:val="00E1003C"/>
    <w:rsid w:val="00E1393A"/>
    <w:rsid w:val="00E2162E"/>
    <w:rsid w:val="00E23C7A"/>
    <w:rsid w:val="00E2775A"/>
    <w:rsid w:val="00E362F9"/>
    <w:rsid w:val="00E36C0D"/>
    <w:rsid w:val="00E4092A"/>
    <w:rsid w:val="00E46C2E"/>
    <w:rsid w:val="00E47A9A"/>
    <w:rsid w:val="00E53CE0"/>
    <w:rsid w:val="00E57F8F"/>
    <w:rsid w:val="00E61EF2"/>
    <w:rsid w:val="00E65D77"/>
    <w:rsid w:val="00E66934"/>
    <w:rsid w:val="00E67B50"/>
    <w:rsid w:val="00E705AE"/>
    <w:rsid w:val="00E7076D"/>
    <w:rsid w:val="00E71268"/>
    <w:rsid w:val="00E775A7"/>
    <w:rsid w:val="00E93D5C"/>
    <w:rsid w:val="00EA2731"/>
    <w:rsid w:val="00EB3410"/>
    <w:rsid w:val="00EB5104"/>
    <w:rsid w:val="00EB5D28"/>
    <w:rsid w:val="00EB61E4"/>
    <w:rsid w:val="00EB6327"/>
    <w:rsid w:val="00EC27F3"/>
    <w:rsid w:val="00EC5257"/>
    <w:rsid w:val="00EE5D4B"/>
    <w:rsid w:val="00EE6DC5"/>
    <w:rsid w:val="00EF29B5"/>
    <w:rsid w:val="00F014AB"/>
    <w:rsid w:val="00F03606"/>
    <w:rsid w:val="00F03FF1"/>
    <w:rsid w:val="00F122F6"/>
    <w:rsid w:val="00F144CA"/>
    <w:rsid w:val="00F168B5"/>
    <w:rsid w:val="00F26406"/>
    <w:rsid w:val="00F31BFA"/>
    <w:rsid w:val="00F323DC"/>
    <w:rsid w:val="00F345BE"/>
    <w:rsid w:val="00F372F4"/>
    <w:rsid w:val="00F4029F"/>
    <w:rsid w:val="00F605B2"/>
    <w:rsid w:val="00F64D9B"/>
    <w:rsid w:val="00F66832"/>
    <w:rsid w:val="00F72934"/>
    <w:rsid w:val="00F80383"/>
    <w:rsid w:val="00F83B87"/>
    <w:rsid w:val="00FA6690"/>
    <w:rsid w:val="00FB6EF4"/>
    <w:rsid w:val="00FB6F59"/>
    <w:rsid w:val="00FB7C1D"/>
    <w:rsid w:val="00FC2B29"/>
    <w:rsid w:val="00FE027A"/>
    <w:rsid w:val="00FE0E26"/>
    <w:rsid w:val="00FE2A7C"/>
    <w:rsid w:val="00FE44F3"/>
    <w:rsid w:val="00FE4A79"/>
    <w:rsid w:val="00FE620C"/>
    <w:rsid w:val="00FF004B"/>
    <w:rsid w:val="00FF1864"/>
    <w:rsid w:val="00FF2586"/>
    <w:rsid w:val="00FF3F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6CAE3"/>
  <w15:chartTrackingRefBased/>
  <w15:docId w15:val="{FB111CA6-0AA6-48FD-BC14-C00BBB36A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104"/>
    <w:pPr>
      <w:spacing w:after="0" w:line="240" w:lineRule="auto"/>
    </w:pPr>
  </w:style>
  <w:style w:type="paragraph" w:styleId="Titre1">
    <w:name w:val="heading 1"/>
    <w:basedOn w:val="Normal"/>
    <w:next w:val="Normal"/>
    <w:link w:val="Titre1Car"/>
    <w:uiPriority w:val="9"/>
    <w:qFormat/>
    <w:rsid w:val="007C563A"/>
    <w:pPr>
      <w:keepNext/>
      <w:keepLines/>
      <w:spacing w:before="240"/>
      <w:jc w:val="both"/>
      <w:outlineLvl w:val="0"/>
    </w:pPr>
    <w:rPr>
      <w:rFonts w:ascii="Calibri" w:eastAsiaTheme="majorEastAsia" w:hAnsi="Calibri" w:cstheme="majorBidi"/>
      <w:b/>
      <w:i/>
      <w:color w:val="0070C0"/>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B5104"/>
    <w:rPr>
      <w:color w:val="0563C1" w:themeColor="hyperlink"/>
      <w:u w:val="single"/>
    </w:rPr>
  </w:style>
  <w:style w:type="paragraph" w:styleId="Textebrut">
    <w:name w:val="Plain Text"/>
    <w:basedOn w:val="Normal"/>
    <w:link w:val="TextebrutCar"/>
    <w:uiPriority w:val="99"/>
    <w:unhideWhenUsed/>
    <w:rsid w:val="00EB5104"/>
    <w:rPr>
      <w:rFonts w:ascii="Calibri" w:hAnsi="Calibri"/>
      <w:szCs w:val="21"/>
    </w:rPr>
  </w:style>
  <w:style w:type="character" w:customStyle="1" w:styleId="TextebrutCar">
    <w:name w:val="Texte brut Car"/>
    <w:basedOn w:val="Policepardfaut"/>
    <w:link w:val="Textebrut"/>
    <w:uiPriority w:val="99"/>
    <w:rsid w:val="00EB5104"/>
    <w:rPr>
      <w:rFonts w:ascii="Calibri" w:hAnsi="Calibri"/>
      <w:szCs w:val="21"/>
    </w:rPr>
  </w:style>
  <w:style w:type="character" w:styleId="Mentionnonrsolue">
    <w:name w:val="Unresolved Mention"/>
    <w:basedOn w:val="Policepardfaut"/>
    <w:uiPriority w:val="99"/>
    <w:semiHidden/>
    <w:unhideWhenUsed/>
    <w:rsid w:val="00906028"/>
    <w:rPr>
      <w:color w:val="605E5C"/>
      <w:shd w:val="clear" w:color="auto" w:fill="E1DFDD"/>
    </w:rPr>
  </w:style>
  <w:style w:type="character" w:styleId="Lienhypertextesuivivisit">
    <w:name w:val="FollowedHyperlink"/>
    <w:basedOn w:val="Policepardfaut"/>
    <w:uiPriority w:val="99"/>
    <w:semiHidden/>
    <w:unhideWhenUsed/>
    <w:rsid w:val="0006248D"/>
    <w:rPr>
      <w:color w:val="954F72" w:themeColor="followedHyperlink"/>
      <w:u w:val="single"/>
    </w:rPr>
  </w:style>
  <w:style w:type="paragraph" w:styleId="En-tte">
    <w:name w:val="header"/>
    <w:basedOn w:val="Normal"/>
    <w:link w:val="En-tteCar"/>
    <w:uiPriority w:val="99"/>
    <w:unhideWhenUsed/>
    <w:rsid w:val="00D92460"/>
    <w:pPr>
      <w:tabs>
        <w:tab w:val="center" w:pos="4536"/>
        <w:tab w:val="right" w:pos="9072"/>
      </w:tabs>
    </w:pPr>
  </w:style>
  <w:style w:type="character" w:customStyle="1" w:styleId="En-tteCar">
    <w:name w:val="En-tête Car"/>
    <w:basedOn w:val="Policepardfaut"/>
    <w:link w:val="En-tte"/>
    <w:uiPriority w:val="99"/>
    <w:rsid w:val="00D92460"/>
  </w:style>
  <w:style w:type="paragraph" w:styleId="Pieddepage">
    <w:name w:val="footer"/>
    <w:basedOn w:val="Normal"/>
    <w:link w:val="PieddepageCar"/>
    <w:uiPriority w:val="99"/>
    <w:unhideWhenUsed/>
    <w:rsid w:val="00D92460"/>
    <w:pPr>
      <w:tabs>
        <w:tab w:val="center" w:pos="4536"/>
        <w:tab w:val="right" w:pos="9072"/>
      </w:tabs>
    </w:pPr>
  </w:style>
  <w:style w:type="character" w:customStyle="1" w:styleId="PieddepageCar">
    <w:name w:val="Pied de page Car"/>
    <w:basedOn w:val="Policepardfaut"/>
    <w:link w:val="Pieddepage"/>
    <w:uiPriority w:val="99"/>
    <w:rsid w:val="00D92460"/>
  </w:style>
  <w:style w:type="character" w:customStyle="1" w:styleId="Titre1Car">
    <w:name w:val="Titre 1 Car"/>
    <w:basedOn w:val="Policepardfaut"/>
    <w:link w:val="Titre1"/>
    <w:uiPriority w:val="9"/>
    <w:rsid w:val="007C563A"/>
    <w:rPr>
      <w:rFonts w:ascii="Calibri" w:eastAsiaTheme="majorEastAsia" w:hAnsi="Calibri" w:cstheme="majorBidi"/>
      <w:b/>
      <w:i/>
      <w:color w:val="0070C0"/>
      <w:sz w:val="28"/>
      <w:szCs w:val="32"/>
    </w:rPr>
  </w:style>
  <w:style w:type="paragraph" w:styleId="En-ttedetabledesmatires">
    <w:name w:val="TOC Heading"/>
    <w:basedOn w:val="Titre1"/>
    <w:next w:val="Normal"/>
    <w:uiPriority w:val="39"/>
    <w:unhideWhenUsed/>
    <w:qFormat/>
    <w:rsid w:val="00481309"/>
    <w:pPr>
      <w:spacing w:line="259" w:lineRule="auto"/>
      <w:outlineLvl w:val="9"/>
    </w:pPr>
    <w:rPr>
      <w:rFonts w:asciiTheme="majorHAnsi" w:hAnsiTheme="majorHAnsi"/>
      <w:b w:val="0"/>
      <w:i w:val="0"/>
      <w:color w:val="2F5496" w:themeColor="accent1" w:themeShade="BF"/>
      <w:sz w:val="32"/>
      <w:lang w:eastAsia="fr-FR"/>
    </w:rPr>
  </w:style>
  <w:style w:type="paragraph" w:styleId="TM1">
    <w:name w:val="toc 1"/>
    <w:basedOn w:val="Normal"/>
    <w:next w:val="Normal"/>
    <w:autoRedefine/>
    <w:uiPriority w:val="39"/>
    <w:unhideWhenUsed/>
    <w:rsid w:val="00481309"/>
    <w:pPr>
      <w:spacing w:after="100"/>
    </w:pPr>
  </w:style>
  <w:style w:type="paragraph" w:styleId="Paragraphedeliste">
    <w:name w:val="List Paragraph"/>
    <w:basedOn w:val="Normal"/>
    <w:uiPriority w:val="34"/>
    <w:qFormat/>
    <w:rsid w:val="007C5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6375">
      <w:bodyDiv w:val="1"/>
      <w:marLeft w:val="0"/>
      <w:marRight w:val="0"/>
      <w:marTop w:val="0"/>
      <w:marBottom w:val="0"/>
      <w:divBdr>
        <w:top w:val="none" w:sz="0" w:space="0" w:color="auto"/>
        <w:left w:val="none" w:sz="0" w:space="0" w:color="auto"/>
        <w:bottom w:val="none" w:sz="0" w:space="0" w:color="auto"/>
        <w:right w:val="none" w:sz="0" w:space="0" w:color="auto"/>
      </w:divBdr>
    </w:div>
    <w:div w:id="50035809">
      <w:bodyDiv w:val="1"/>
      <w:marLeft w:val="0"/>
      <w:marRight w:val="0"/>
      <w:marTop w:val="0"/>
      <w:marBottom w:val="0"/>
      <w:divBdr>
        <w:top w:val="none" w:sz="0" w:space="0" w:color="auto"/>
        <w:left w:val="none" w:sz="0" w:space="0" w:color="auto"/>
        <w:bottom w:val="none" w:sz="0" w:space="0" w:color="auto"/>
        <w:right w:val="none" w:sz="0" w:space="0" w:color="auto"/>
      </w:divBdr>
    </w:div>
    <w:div w:id="55082509">
      <w:bodyDiv w:val="1"/>
      <w:marLeft w:val="0"/>
      <w:marRight w:val="0"/>
      <w:marTop w:val="0"/>
      <w:marBottom w:val="0"/>
      <w:divBdr>
        <w:top w:val="none" w:sz="0" w:space="0" w:color="auto"/>
        <w:left w:val="none" w:sz="0" w:space="0" w:color="auto"/>
        <w:bottom w:val="none" w:sz="0" w:space="0" w:color="auto"/>
        <w:right w:val="none" w:sz="0" w:space="0" w:color="auto"/>
      </w:divBdr>
    </w:div>
    <w:div w:id="96826842">
      <w:bodyDiv w:val="1"/>
      <w:marLeft w:val="0"/>
      <w:marRight w:val="0"/>
      <w:marTop w:val="0"/>
      <w:marBottom w:val="0"/>
      <w:divBdr>
        <w:top w:val="none" w:sz="0" w:space="0" w:color="auto"/>
        <w:left w:val="none" w:sz="0" w:space="0" w:color="auto"/>
        <w:bottom w:val="none" w:sz="0" w:space="0" w:color="auto"/>
        <w:right w:val="none" w:sz="0" w:space="0" w:color="auto"/>
      </w:divBdr>
    </w:div>
    <w:div w:id="100493730">
      <w:bodyDiv w:val="1"/>
      <w:marLeft w:val="0"/>
      <w:marRight w:val="0"/>
      <w:marTop w:val="0"/>
      <w:marBottom w:val="0"/>
      <w:divBdr>
        <w:top w:val="none" w:sz="0" w:space="0" w:color="auto"/>
        <w:left w:val="none" w:sz="0" w:space="0" w:color="auto"/>
        <w:bottom w:val="none" w:sz="0" w:space="0" w:color="auto"/>
        <w:right w:val="none" w:sz="0" w:space="0" w:color="auto"/>
      </w:divBdr>
    </w:div>
    <w:div w:id="136731777">
      <w:bodyDiv w:val="1"/>
      <w:marLeft w:val="0"/>
      <w:marRight w:val="0"/>
      <w:marTop w:val="0"/>
      <w:marBottom w:val="0"/>
      <w:divBdr>
        <w:top w:val="none" w:sz="0" w:space="0" w:color="auto"/>
        <w:left w:val="none" w:sz="0" w:space="0" w:color="auto"/>
        <w:bottom w:val="none" w:sz="0" w:space="0" w:color="auto"/>
        <w:right w:val="none" w:sz="0" w:space="0" w:color="auto"/>
      </w:divBdr>
    </w:div>
    <w:div w:id="137888414">
      <w:bodyDiv w:val="1"/>
      <w:marLeft w:val="0"/>
      <w:marRight w:val="0"/>
      <w:marTop w:val="0"/>
      <w:marBottom w:val="0"/>
      <w:divBdr>
        <w:top w:val="none" w:sz="0" w:space="0" w:color="auto"/>
        <w:left w:val="none" w:sz="0" w:space="0" w:color="auto"/>
        <w:bottom w:val="none" w:sz="0" w:space="0" w:color="auto"/>
        <w:right w:val="none" w:sz="0" w:space="0" w:color="auto"/>
      </w:divBdr>
    </w:div>
    <w:div w:id="188491024">
      <w:bodyDiv w:val="1"/>
      <w:marLeft w:val="0"/>
      <w:marRight w:val="0"/>
      <w:marTop w:val="0"/>
      <w:marBottom w:val="0"/>
      <w:divBdr>
        <w:top w:val="none" w:sz="0" w:space="0" w:color="auto"/>
        <w:left w:val="none" w:sz="0" w:space="0" w:color="auto"/>
        <w:bottom w:val="none" w:sz="0" w:space="0" w:color="auto"/>
        <w:right w:val="none" w:sz="0" w:space="0" w:color="auto"/>
      </w:divBdr>
    </w:div>
    <w:div w:id="191696419">
      <w:bodyDiv w:val="1"/>
      <w:marLeft w:val="0"/>
      <w:marRight w:val="0"/>
      <w:marTop w:val="0"/>
      <w:marBottom w:val="0"/>
      <w:divBdr>
        <w:top w:val="none" w:sz="0" w:space="0" w:color="auto"/>
        <w:left w:val="none" w:sz="0" w:space="0" w:color="auto"/>
        <w:bottom w:val="none" w:sz="0" w:space="0" w:color="auto"/>
        <w:right w:val="none" w:sz="0" w:space="0" w:color="auto"/>
      </w:divBdr>
    </w:div>
    <w:div w:id="192231327">
      <w:bodyDiv w:val="1"/>
      <w:marLeft w:val="0"/>
      <w:marRight w:val="0"/>
      <w:marTop w:val="0"/>
      <w:marBottom w:val="0"/>
      <w:divBdr>
        <w:top w:val="none" w:sz="0" w:space="0" w:color="auto"/>
        <w:left w:val="none" w:sz="0" w:space="0" w:color="auto"/>
        <w:bottom w:val="none" w:sz="0" w:space="0" w:color="auto"/>
        <w:right w:val="none" w:sz="0" w:space="0" w:color="auto"/>
      </w:divBdr>
    </w:div>
    <w:div w:id="215355517">
      <w:bodyDiv w:val="1"/>
      <w:marLeft w:val="0"/>
      <w:marRight w:val="0"/>
      <w:marTop w:val="0"/>
      <w:marBottom w:val="0"/>
      <w:divBdr>
        <w:top w:val="none" w:sz="0" w:space="0" w:color="auto"/>
        <w:left w:val="none" w:sz="0" w:space="0" w:color="auto"/>
        <w:bottom w:val="none" w:sz="0" w:space="0" w:color="auto"/>
        <w:right w:val="none" w:sz="0" w:space="0" w:color="auto"/>
      </w:divBdr>
    </w:div>
    <w:div w:id="221723127">
      <w:bodyDiv w:val="1"/>
      <w:marLeft w:val="0"/>
      <w:marRight w:val="0"/>
      <w:marTop w:val="0"/>
      <w:marBottom w:val="0"/>
      <w:divBdr>
        <w:top w:val="none" w:sz="0" w:space="0" w:color="auto"/>
        <w:left w:val="none" w:sz="0" w:space="0" w:color="auto"/>
        <w:bottom w:val="none" w:sz="0" w:space="0" w:color="auto"/>
        <w:right w:val="none" w:sz="0" w:space="0" w:color="auto"/>
      </w:divBdr>
    </w:div>
    <w:div w:id="227545188">
      <w:bodyDiv w:val="1"/>
      <w:marLeft w:val="0"/>
      <w:marRight w:val="0"/>
      <w:marTop w:val="0"/>
      <w:marBottom w:val="0"/>
      <w:divBdr>
        <w:top w:val="none" w:sz="0" w:space="0" w:color="auto"/>
        <w:left w:val="none" w:sz="0" w:space="0" w:color="auto"/>
        <w:bottom w:val="none" w:sz="0" w:space="0" w:color="auto"/>
        <w:right w:val="none" w:sz="0" w:space="0" w:color="auto"/>
      </w:divBdr>
    </w:div>
    <w:div w:id="257179201">
      <w:bodyDiv w:val="1"/>
      <w:marLeft w:val="0"/>
      <w:marRight w:val="0"/>
      <w:marTop w:val="0"/>
      <w:marBottom w:val="0"/>
      <w:divBdr>
        <w:top w:val="none" w:sz="0" w:space="0" w:color="auto"/>
        <w:left w:val="none" w:sz="0" w:space="0" w:color="auto"/>
        <w:bottom w:val="none" w:sz="0" w:space="0" w:color="auto"/>
        <w:right w:val="none" w:sz="0" w:space="0" w:color="auto"/>
      </w:divBdr>
    </w:div>
    <w:div w:id="270550212">
      <w:bodyDiv w:val="1"/>
      <w:marLeft w:val="0"/>
      <w:marRight w:val="0"/>
      <w:marTop w:val="0"/>
      <w:marBottom w:val="0"/>
      <w:divBdr>
        <w:top w:val="none" w:sz="0" w:space="0" w:color="auto"/>
        <w:left w:val="none" w:sz="0" w:space="0" w:color="auto"/>
        <w:bottom w:val="none" w:sz="0" w:space="0" w:color="auto"/>
        <w:right w:val="none" w:sz="0" w:space="0" w:color="auto"/>
      </w:divBdr>
    </w:div>
    <w:div w:id="279146365">
      <w:bodyDiv w:val="1"/>
      <w:marLeft w:val="0"/>
      <w:marRight w:val="0"/>
      <w:marTop w:val="0"/>
      <w:marBottom w:val="0"/>
      <w:divBdr>
        <w:top w:val="none" w:sz="0" w:space="0" w:color="auto"/>
        <w:left w:val="none" w:sz="0" w:space="0" w:color="auto"/>
        <w:bottom w:val="none" w:sz="0" w:space="0" w:color="auto"/>
        <w:right w:val="none" w:sz="0" w:space="0" w:color="auto"/>
      </w:divBdr>
    </w:div>
    <w:div w:id="279536783">
      <w:bodyDiv w:val="1"/>
      <w:marLeft w:val="0"/>
      <w:marRight w:val="0"/>
      <w:marTop w:val="0"/>
      <w:marBottom w:val="0"/>
      <w:divBdr>
        <w:top w:val="none" w:sz="0" w:space="0" w:color="auto"/>
        <w:left w:val="none" w:sz="0" w:space="0" w:color="auto"/>
        <w:bottom w:val="none" w:sz="0" w:space="0" w:color="auto"/>
        <w:right w:val="none" w:sz="0" w:space="0" w:color="auto"/>
      </w:divBdr>
    </w:div>
    <w:div w:id="281620162">
      <w:bodyDiv w:val="1"/>
      <w:marLeft w:val="0"/>
      <w:marRight w:val="0"/>
      <w:marTop w:val="0"/>
      <w:marBottom w:val="0"/>
      <w:divBdr>
        <w:top w:val="none" w:sz="0" w:space="0" w:color="auto"/>
        <w:left w:val="none" w:sz="0" w:space="0" w:color="auto"/>
        <w:bottom w:val="none" w:sz="0" w:space="0" w:color="auto"/>
        <w:right w:val="none" w:sz="0" w:space="0" w:color="auto"/>
      </w:divBdr>
    </w:div>
    <w:div w:id="287592740">
      <w:bodyDiv w:val="1"/>
      <w:marLeft w:val="0"/>
      <w:marRight w:val="0"/>
      <w:marTop w:val="0"/>
      <w:marBottom w:val="0"/>
      <w:divBdr>
        <w:top w:val="none" w:sz="0" w:space="0" w:color="auto"/>
        <w:left w:val="none" w:sz="0" w:space="0" w:color="auto"/>
        <w:bottom w:val="none" w:sz="0" w:space="0" w:color="auto"/>
        <w:right w:val="none" w:sz="0" w:space="0" w:color="auto"/>
      </w:divBdr>
    </w:div>
    <w:div w:id="288516030">
      <w:bodyDiv w:val="1"/>
      <w:marLeft w:val="0"/>
      <w:marRight w:val="0"/>
      <w:marTop w:val="0"/>
      <w:marBottom w:val="0"/>
      <w:divBdr>
        <w:top w:val="none" w:sz="0" w:space="0" w:color="auto"/>
        <w:left w:val="none" w:sz="0" w:space="0" w:color="auto"/>
        <w:bottom w:val="none" w:sz="0" w:space="0" w:color="auto"/>
        <w:right w:val="none" w:sz="0" w:space="0" w:color="auto"/>
      </w:divBdr>
    </w:div>
    <w:div w:id="299697988">
      <w:bodyDiv w:val="1"/>
      <w:marLeft w:val="0"/>
      <w:marRight w:val="0"/>
      <w:marTop w:val="0"/>
      <w:marBottom w:val="0"/>
      <w:divBdr>
        <w:top w:val="none" w:sz="0" w:space="0" w:color="auto"/>
        <w:left w:val="none" w:sz="0" w:space="0" w:color="auto"/>
        <w:bottom w:val="none" w:sz="0" w:space="0" w:color="auto"/>
        <w:right w:val="none" w:sz="0" w:space="0" w:color="auto"/>
      </w:divBdr>
    </w:div>
    <w:div w:id="308756520">
      <w:bodyDiv w:val="1"/>
      <w:marLeft w:val="0"/>
      <w:marRight w:val="0"/>
      <w:marTop w:val="0"/>
      <w:marBottom w:val="0"/>
      <w:divBdr>
        <w:top w:val="none" w:sz="0" w:space="0" w:color="auto"/>
        <w:left w:val="none" w:sz="0" w:space="0" w:color="auto"/>
        <w:bottom w:val="none" w:sz="0" w:space="0" w:color="auto"/>
        <w:right w:val="none" w:sz="0" w:space="0" w:color="auto"/>
      </w:divBdr>
    </w:div>
    <w:div w:id="313490775">
      <w:bodyDiv w:val="1"/>
      <w:marLeft w:val="0"/>
      <w:marRight w:val="0"/>
      <w:marTop w:val="0"/>
      <w:marBottom w:val="0"/>
      <w:divBdr>
        <w:top w:val="none" w:sz="0" w:space="0" w:color="auto"/>
        <w:left w:val="none" w:sz="0" w:space="0" w:color="auto"/>
        <w:bottom w:val="none" w:sz="0" w:space="0" w:color="auto"/>
        <w:right w:val="none" w:sz="0" w:space="0" w:color="auto"/>
      </w:divBdr>
    </w:div>
    <w:div w:id="313684411">
      <w:bodyDiv w:val="1"/>
      <w:marLeft w:val="0"/>
      <w:marRight w:val="0"/>
      <w:marTop w:val="0"/>
      <w:marBottom w:val="0"/>
      <w:divBdr>
        <w:top w:val="none" w:sz="0" w:space="0" w:color="auto"/>
        <w:left w:val="none" w:sz="0" w:space="0" w:color="auto"/>
        <w:bottom w:val="none" w:sz="0" w:space="0" w:color="auto"/>
        <w:right w:val="none" w:sz="0" w:space="0" w:color="auto"/>
      </w:divBdr>
    </w:div>
    <w:div w:id="322053107">
      <w:bodyDiv w:val="1"/>
      <w:marLeft w:val="0"/>
      <w:marRight w:val="0"/>
      <w:marTop w:val="0"/>
      <w:marBottom w:val="0"/>
      <w:divBdr>
        <w:top w:val="none" w:sz="0" w:space="0" w:color="auto"/>
        <w:left w:val="none" w:sz="0" w:space="0" w:color="auto"/>
        <w:bottom w:val="none" w:sz="0" w:space="0" w:color="auto"/>
        <w:right w:val="none" w:sz="0" w:space="0" w:color="auto"/>
      </w:divBdr>
    </w:div>
    <w:div w:id="323822651">
      <w:bodyDiv w:val="1"/>
      <w:marLeft w:val="0"/>
      <w:marRight w:val="0"/>
      <w:marTop w:val="0"/>
      <w:marBottom w:val="0"/>
      <w:divBdr>
        <w:top w:val="none" w:sz="0" w:space="0" w:color="auto"/>
        <w:left w:val="none" w:sz="0" w:space="0" w:color="auto"/>
        <w:bottom w:val="none" w:sz="0" w:space="0" w:color="auto"/>
        <w:right w:val="none" w:sz="0" w:space="0" w:color="auto"/>
      </w:divBdr>
    </w:div>
    <w:div w:id="353843249">
      <w:bodyDiv w:val="1"/>
      <w:marLeft w:val="0"/>
      <w:marRight w:val="0"/>
      <w:marTop w:val="0"/>
      <w:marBottom w:val="0"/>
      <w:divBdr>
        <w:top w:val="none" w:sz="0" w:space="0" w:color="auto"/>
        <w:left w:val="none" w:sz="0" w:space="0" w:color="auto"/>
        <w:bottom w:val="none" w:sz="0" w:space="0" w:color="auto"/>
        <w:right w:val="none" w:sz="0" w:space="0" w:color="auto"/>
      </w:divBdr>
    </w:div>
    <w:div w:id="378093179">
      <w:bodyDiv w:val="1"/>
      <w:marLeft w:val="0"/>
      <w:marRight w:val="0"/>
      <w:marTop w:val="0"/>
      <w:marBottom w:val="0"/>
      <w:divBdr>
        <w:top w:val="none" w:sz="0" w:space="0" w:color="auto"/>
        <w:left w:val="none" w:sz="0" w:space="0" w:color="auto"/>
        <w:bottom w:val="none" w:sz="0" w:space="0" w:color="auto"/>
        <w:right w:val="none" w:sz="0" w:space="0" w:color="auto"/>
      </w:divBdr>
    </w:div>
    <w:div w:id="379670333">
      <w:bodyDiv w:val="1"/>
      <w:marLeft w:val="0"/>
      <w:marRight w:val="0"/>
      <w:marTop w:val="0"/>
      <w:marBottom w:val="0"/>
      <w:divBdr>
        <w:top w:val="none" w:sz="0" w:space="0" w:color="auto"/>
        <w:left w:val="none" w:sz="0" w:space="0" w:color="auto"/>
        <w:bottom w:val="none" w:sz="0" w:space="0" w:color="auto"/>
        <w:right w:val="none" w:sz="0" w:space="0" w:color="auto"/>
      </w:divBdr>
    </w:div>
    <w:div w:id="385683838">
      <w:bodyDiv w:val="1"/>
      <w:marLeft w:val="0"/>
      <w:marRight w:val="0"/>
      <w:marTop w:val="0"/>
      <w:marBottom w:val="0"/>
      <w:divBdr>
        <w:top w:val="none" w:sz="0" w:space="0" w:color="auto"/>
        <w:left w:val="none" w:sz="0" w:space="0" w:color="auto"/>
        <w:bottom w:val="none" w:sz="0" w:space="0" w:color="auto"/>
        <w:right w:val="none" w:sz="0" w:space="0" w:color="auto"/>
      </w:divBdr>
    </w:div>
    <w:div w:id="403378859">
      <w:bodyDiv w:val="1"/>
      <w:marLeft w:val="0"/>
      <w:marRight w:val="0"/>
      <w:marTop w:val="0"/>
      <w:marBottom w:val="0"/>
      <w:divBdr>
        <w:top w:val="none" w:sz="0" w:space="0" w:color="auto"/>
        <w:left w:val="none" w:sz="0" w:space="0" w:color="auto"/>
        <w:bottom w:val="none" w:sz="0" w:space="0" w:color="auto"/>
        <w:right w:val="none" w:sz="0" w:space="0" w:color="auto"/>
      </w:divBdr>
    </w:div>
    <w:div w:id="405225511">
      <w:bodyDiv w:val="1"/>
      <w:marLeft w:val="0"/>
      <w:marRight w:val="0"/>
      <w:marTop w:val="0"/>
      <w:marBottom w:val="0"/>
      <w:divBdr>
        <w:top w:val="none" w:sz="0" w:space="0" w:color="auto"/>
        <w:left w:val="none" w:sz="0" w:space="0" w:color="auto"/>
        <w:bottom w:val="none" w:sz="0" w:space="0" w:color="auto"/>
        <w:right w:val="none" w:sz="0" w:space="0" w:color="auto"/>
      </w:divBdr>
    </w:div>
    <w:div w:id="412165251">
      <w:bodyDiv w:val="1"/>
      <w:marLeft w:val="0"/>
      <w:marRight w:val="0"/>
      <w:marTop w:val="0"/>
      <w:marBottom w:val="0"/>
      <w:divBdr>
        <w:top w:val="none" w:sz="0" w:space="0" w:color="auto"/>
        <w:left w:val="none" w:sz="0" w:space="0" w:color="auto"/>
        <w:bottom w:val="none" w:sz="0" w:space="0" w:color="auto"/>
        <w:right w:val="none" w:sz="0" w:space="0" w:color="auto"/>
      </w:divBdr>
    </w:div>
    <w:div w:id="419134350">
      <w:bodyDiv w:val="1"/>
      <w:marLeft w:val="0"/>
      <w:marRight w:val="0"/>
      <w:marTop w:val="0"/>
      <w:marBottom w:val="0"/>
      <w:divBdr>
        <w:top w:val="none" w:sz="0" w:space="0" w:color="auto"/>
        <w:left w:val="none" w:sz="0" w:space="0" w:color="auto"/>
        <w:bottom w:val="none" w:sz="0" w:space="0" w:color="auto"/>
        <w:right w:val="none" w:sz="0" w:space="0" w:color="auto"/>
      </w:divBdr>
    </w:div>
    <w:div w:id="422995575">
      <w:bodyDiv w:val="1"/>
      <w:marLeft w:val="0"/>
      <w:marRight w:val="0"/>
      <w:marTop w:val="0"/>
      <w:marBottom w:val="0"/>
      <w:divBdr>
        <w:top w:val="none" w:sz="0" w:space="0" w:color="auto"/>
        <w:left w:val="none" w:sz="0" w:space="0" w:color="auto"/>
        <w:bottom w:val="none" w:sz="0" w:space="0" w:color="auto"/>
        <w:right w:val="none" w:sz="0" w:space="0" w:color="auto"/>
      </w:divBdr>
    </w:div>
    <w:div w:id="427583453">
      <w:bodyDiv w:val="1"/>
      <w:marLeft w:val="0"/>
      <w:marRight w:val="0"/>
      <w:marTop w:val="0"/>
      <w:marBottom w:val="0"/>
      <w:divBdr>
        <w:top w:val="none" w:sz="0" w:space="0" w:color="auto"/>
        <w:left w:val="none" w:sz="0" w:space="0" w:color="auto"/>
        <w:bottom w:val="none" w:sz="0" w:space="0" w:color="auto"/>
        <w:right w:val="none" w:sz="0" w:space="0" w:color="auto"/>
      </w:divBdr>
    </w:div>
    <w:div w:id="430858661">
      <w:bodyDiv w:val="1"/>
      <w:marLeft w:val="0"/>
      <w:marRight w:val="0"/>
      <w:marTop w:val="0"/>
      <w:marBottom w:val="0"/>
      <w:divBdr>
        <w:top w:val="none" w:sz="0" w:space="0" w:color="auto"/>
        <w:left w:val="none" w:sz="0" w:space="0" w:color="auto"/>
        <w:bottom w:val="none" w:sz="0" w:space="0" w:color="auto"/>
        <w:right w:val="none" w:sz="0" w:space="0" w:color="auto"/>
      </w:divBdr>
    </w:div>
    <w:div w:id="437993713">
      <w:bodyDiv w:val="1"/>
      <w:marLeft w:val="0"/>
      <w:marRight w:val="0"/>
      <w:marTop w:val="0"/>
      <w:marBottom w:val="0"/>
      <w:divBdr>
        <w:top w:val="none" w:sz="0" w:space="0" w:color="auto"/>
        <w:left w:val="none" w:sz="0" w:space="0" w:color="auto"/>
        <w:bottom w:val="none" w:sz="0" w:space="0" w:color="auto"/>
        <w:right w:val="none" w:sz="0" w:space="0" w:color="auto"/>
      </w:divBdr>
    </w:div>
    <w:div w:id="441848015">
      <w:bodyDiv w:val="1"/>
      <w:marLeft w:val="0"/>
      <w:marRight w:val="0"/>
      <w:marTop w:val="0"/>
      <w:marBottom w:val="0"/>
      <w:divBdr>
        <w:top w:val="none" w:sz="0" w:space="0" w:color="auto"/>
        <w:left w:val="none" w:sz="0" w:space="0" w:color="auto"/>
        <w:bottom w:val="none" w:sz="0" w:space="0" w:color="auto"/>
        <w:right w:val="none" w:sz="0" w:space="0" w:color="auto"/>
      </w:divBdr>
    </w:div>
    <w:div w:id="450519801">
      <w:bodyDiv w:val="1"/>
      <w:marLeft w:val="0"/>
      <w:marRight w:val="0"/>
      <w:marTop w:val="0"/>
      <w:marBottom w:val="0"/>
      <w:divBdr>
        <w:top w:val="none" w:sz="0" w:space="0" w:color="auto"/>
        <w:left w:val="none" w:sz="0" w:space="0" w:color="auto"/>
        <w:bottom w:val="none" w:sz="0" w:space="0" w:color="auto"/>
        <w:right w:val="none" w:sz="0" w:space="0" w:color="auto"/>
      </w:divBdr>
    </w:div>
    <w:div w:id="450563021">
      <w:bodyDiv w:val="1"/>
      <w:marLeft w:val="0"/>
      <w:marRight w:val="0"/>
      <w:marTop w:val="0"/>
      <w:marBottom w:val="0"/>
      <w:divBdr>
        <w:top w:val="none" w:sz="0" w:space="0" w:color="auto"/>
        <w:left w:val="none" w:sz="0" w:space="0" w:color="auto"/>
        <w:bottom w:val="none" w:sz="0" w:space="0" w:color="auto"/>
        <w:right w:val="none" w:sz="0" w:space="0" w:color="auto"/>
      </w:divBdr>
    </w:div>
    <w:div w:id="468480653">
      <w:bodyDiv w:val="1"/>
      <w:marLeft w:val="0"/>
      <w:marRight w:val="0"/>
      <w:marTop w:val="0"/>
      <w:marBottom w:val="0"/>
      <w:divBdr>
        <w:top w:val="none" w:sz="0" w:space="0" w:color="auto"/>
        <w:left w:val="none" w:sz="0" w:space="0" w:color="auto"/>
        <w:bottom w:val="none" w:sz="0" w:space="0" w:color="auto"/>
        <w:right w:val="none" w:sz="0" w:space="0" w:color="auto"/>
      </w:divBdr>
    </w:div>
    <w:div w:id="481043711">
      <w:bodyDiv w:val="1"/>
      <w:marLeft w:val="0"/>
      <w:marRight w:val="0"/>
      <w:marTop w:val="0"/>
      <w:marBottom w:val="0"/>
      <w:divBdr>
        <w:top w:val="none" w:sz="0" w:space="0" w:color="auto"/>
        <w:left w:val="none" w:sz="0" w:space="0" w:color="auto"/>
        <w:bottom w:val="none" w:sz="0" w:space="0" w:color="auto"/>
        <w:right w:val="none" w:sz="0" w:space="0" w:color="auto"/>
      </w:divBdr>
    </w:div>
    <w:div w:id="491919437">
      <w:bodyDiv w:val="1"/>
      <w:marLeft w:val="0"/>
      <w:marRight w:val="0"/>
      <w:marTop w:val="0"/>
      <w:marBottom w:val="0"/>
      <w:divBdr>
        <w:top w:val="none" w:sz="0" w:space="0" w:color="auto"/>
        <w:left w:val="none" w:sz="0" w:space="0" w:color="auto"/>
        <w:bottom w:val="none" w:sz="0" w:space="0" w:color="auto"/>
        <w:right w:val="none" w:sz="0" w:space="0" w:color="auto"/>
      </w:divBdr>
    </w:div>
    <w:div w:id="495269126">
      <w:bodyDiv w:val="1"/>
      <w:marLeft w:val="0"/>
      <w:marRight w:val="0"/>
      <w:marTop w:val="0"/>
      <w:marBottom w:val="0"/>
      <w:divBdr>
        <w:top w:val="none" w:sz="0" w:space="0" w:color="auto"/>
        <w:left w:val="none" w:sz="0" w:space="0" w:color="auto"/>
        <w:bottom w:val="none" w:sz="0" w:space="0" w:color="auto"/>
        <w:right w:val="none" w:sz="0" w:space="0" w:color="auto"/>
      </w:divBdr>
    </w:div>
    <w:div w:id="495649474">
      <w:bodyDiv w:val="1"/>
      <w:marLeft w:val="0"/>
      <w:marRight w:val="0"/>
      <w:marTop w:val="0"/>
      <w:marBottom w:val="0"/>
      <w:divBdr>
        <w:top w:val="none" w:sz="0" w:space="0" w:color="auto"/>
        <w:left w:val="none" w:sz="0" w:space="0" w:color="auto"/>
        <w:bottom w:val="none" w:sz="0" w:space="0" w:color="auto"/>
        <w:right w:val="none" w:sz="0" w:space="0" w:color="auto"/>
      </w:divBdr>
    </w:div>
    <w:div w:id="496269861">
      <w:bodyDiv w:val="1"/>
      <w:marLeft w:val="0"/>
      <w:marRight w:val="0"/>
      <w:marTop w:val="0"/>
      <w:marBottom w:val="0"/>
      <w:divBdr>
        <w:top w:val="none" w:sz="0" w:space="0" w:color="auto"/>
        <w:left w:val="none" w:sz="0" w:space="0" w:color="auto"/>
        <w:bottom w:val="none" w:sz="0" w:space="0" w:color="auto"/>
        <w:right w:val="none" w:sz="0" w:space="0" w:color="auto"/>
      </w:divBdr>
    </w:div>
    <w:div w:id="500632228">
      <w:bodyDiv w:val="1"/>
      <w:marLeft w:val="0"/>
      <w:marRight w:val="0"/>
      <w:marTop w:val="0"/>
      <w:marBottom w:val="0"/>
      <w:divBdr>
        <w:top w:val="none" w:sz="0" w:space="0" w:color="auto"/>
        <w:left w:val="none" w:sz="0" w:space="0" w:color="auto"/>
        <w:bottom w:val="none" w:sz="0" w:space="0" w:color="auto"/>
        <w:right w:val="none" w:sz="0" w:space="0" w:color="auto"/>
      </w:divBdr>
    </w:div>
    <w:div w:id="550269109">
      <w:bodyDiv w:val="1"/>
      <w:marLeft w:val="0"/>
      <w:marRight w:val="0"/>
      <w:marTop w:val="0"/>
      <w:marBottom w:val="0"/>
      <w:divBdr>
        <w:top w:val="none" w:sz="0" w:space="0" w:color="auto"/>
        <w:left w:val="none" w:sz="0" w:space="0" w:color="auto"/>
        <w:bottom w:val="none" w:sz="0" w:space="0" w:color="auto"/>
        <w:right w:val="none" w:sz="0" w:space="0" w:color="auto"/>
      </w:divBdr>
    </w:div>
    <w:div w:id="552231115">
      <w:bodyDiv w:val="1"/>
      <w:marLeft w:val="0"/>
      <w:marRight w:val="0"/>
      <w:marTop w:val="0"/>
      <w:marBottom w:val="0"/>
      <w:divBdr>
        <w:top w:val="none" w:sz="0" w:space="0" w:color="auto"/>
        <w:left w:val="none" w:sz="0" w:space="0" w:color="auto"/>
        <w:bottom w:val="none" w:sz="0" w:space="0" w:color="auto"/>
        <w:right w:val="none" w:sz="0" w:space="0" w:color="auto"/>
      </w:divBdr>
    </w:div>
    <w:div w:id="554656215">
      <w:bodyDiv w:val="1"/>
      <w:marLeft w:val="0"/>
      <w:marRight w:val="0"/>
      <w:marTop w:val="0"/>
      <w:marBottom w:val="0"/>
      <w:divBdr>
        <w:top w:val="none" w:sz="0" w:space="0" w:color="auto"/>
        <w:left w:val="none" w:sz="0" w:space="0" w:color="auto"/>
        <w:bottom w:val="none" w:sz="0" w:space="0" w:color="auto"/>
        <w:right w:val="none" w:sz="0" w:space="0" w:color="auto"/>
      </w:divBdr>
    </w:div>
    <w:div w:id="566695690">
      <w:bodyDiv w:val="1"/>
      <w:marLeft w:val="0"/>
      <w:marRight w:val="0"/>
      <w:marTop w:val="0"/>
      <w:marBottom w:val="0"/>
      <w:divBdr>
        <w:top w:val="none" w:sz="0" w:space="0" w:color="auto"/>
        <w:left w:val="none" w:sz="0" w:space="0" w:color="auto"/>
        <w:bottom w:val="none" w:sz="0" w:space="0" w:color="auto"/>
        <w:right w:val="none" w:sz="0" w:space="0" w:color="auto"/>
      </w:divBdr>
    </w:div>
    <w:div w:id="567886354">
      <w:bodyDiv w:val="1"/>
      <w:marLeft w:val="0"/>
      <w:marRight w:val="0"/>
      <w:marTop w:val="0"/>
      <w:marBottom w:val="0"/>
      <w:divBdr>
        <w:top w:val="none" w:sz="0" w:space="0" w:color="auto"/>
        <w:left w:val="none" w:sz="0" w:space="0" w:color="auto"/>
        <w:bottom w:val="none" w:sz="0" w:space="0" w:color="auto"/>
        <w:right w:val="none" w:sz="0" w:space="0" w:color="auto"/>
      </w:divBdr>
    </w:div>
    <w:div w:id="570652288">
      <w:bodyDiv w:val="1"/>
      <w:marLeft w:val="0"/>
      <w:marRight w:val="0"/>
      <w:marTop w:val="0"/>
      <w:marBottom w:val="0"/>
      <w:divBdr>
        <w:top w:val="none" w:sz="0" w:space="0" w:color="auto"/>
        <w:left w:val="none" w:sz="0" w:space="0" w:color="auto"/>
        <w:bottom w:val="none" w:sz="0" w:space="0" w:color="auto"/>
        <w:right w:val="none" w:sz="0" w:space="0" w:color="auto"/>
      </w:divBdr>
    </w:div>
    <w:div w:id="574049161">
      <w:bodyDiv w:val="1"/>
      <w:marLeft w:val="0"/>
      <w:marRight w:val="0"/>
      <w:marTop w:val="0"/>
      <w:marBottom w:val="0"/>
      <w:divBdr>
        <w:top w:val="none" w:sz="0" w:space="0" w:color="auto"/>
        <w:left w:val="none" w:sz="0" w:space="0" w:color="auto"/>
        <w:bottom w:val="none" w:sz="0" w:space="0" w:color="auto"/>
        <w:right w:val="none" w:sz="0" w:space="0" w:color="auto"/>
      </w:divBdr>
    </w:div>
    <w:div w:id="586422608">
      <w:bodyDiv w:val="1"/>
      <w:marLeft w:val="0"/>
      <w:marRight w:val="0"/>
      <w:marTop w:val="0"/>
      <w:marBottom w:val="0"/>
      <w:divBdr>
        <w:top w:val="none" w:sz="0" w:space="0" w:color="auto"/>
        <w:left w:val="none" w:sz="0" w:space="0" w:color="auto"/>
        <w:bottom w:val="none" w:sz="0" w:space="0" w:color="auto"/>
        <w:right w:val="none" w:sz="0" w:space="0" w:color="auto"/>
      </w:divBdr>
    </w:div>
    <w:div w:id="587888297">
      <w:bodyDiv w:val="1"/>
      <w:marLeft w:val="0"/>
      <w:marRight w:val="0"/>
      <w:marTop w:val="0"/>
      <w:marBottom w:val="0"/>
      <w:divBdr>
        <w:top w:val="none" w:sz="0" w:space="0" w:color="auto"/>
        <w:left w:val="none" w:sz="0" w:space="0" w:color="auto"/>
        <w:bottom w:val="none" w:sz="0" w:space="0" w:color="auto"/>
        <w:right w:val="none" w:sz="0" w:space="0" w:color="auto"/>
      </w:divBdr>
    </w:div>
    <w:div w:id="592709563">
      <w:bodyDiv w:val="1"/>
      <w:marLeft w:val="0"/>
      <w:marRight w:val="0"/>
      <w:marTop w:val="0"/>
      <w:marBottom w:val="0"/>
      <w:divBdr>
        <w:top w:val="none" w:sz="0" w:space="0" w:color="auto"/>
        <w:left w:val="none" w:sz="0" w:space="0" w:color="auto"/>
        <w:bottom w:val="none" w:sz="0" w:space="0" w:color="auto"/>
        <w:right w:val="none" w:sz="0" w:space="0" w:color="auto"/>
      </w:divBdr>
    </w:div>
    <w:div w:id="600185071">
      <w:bodyDiv w:val="1"/>
      <w:marLeft w:val="0"/>
      <w:marRight w:val="0"/>
      <w:marTop w:val="0"/>
      <w:marBottom w:val="0"/>
      <w:divBdr>
        <w:top w:val="none" w:sz="0" w:space="0" w:color="auto"/>
        <w:left w:val="none" w:sz="0" w:space="0" w:color="auto"/>
        <w:bottom w:val="none" w:sz="0" w:space="0" w:color="auto"/>
        <w:right w:val="none" w:sz="0" w:space="0" w:color="auto"/>
      </w:divBdr>
    </w:div>
    <w:div w:id="642854595">
      <w:bodyDiv w:val="1"/>
      <w:marLeft w:val="0"/>
      <w:marRight w:val="0"/>
      <w:marTop w:val="0"/>
      <w:marBottom w:val="0"/>
      <w:divBdr>
        <w:top w:val="none" w:sz="0" w:space="0" w:color="auto"/>
        <w:left w:val="none" w:sz="0" w:space="0" w:color="auto"/>
        <w:bottom w:val="none" w:sz="0" w:space="0" w:color="auto"/>
        <w:right w:val="none" w:sz="0" w:space="0" w:color="auto"/>
      </w:divBdr>
    </w:div>
    <w:div w:id="655650436">
      <w:bodyDiv w:val="1"/>
      <w:marLeft w:val="0"/>
      <w:marRight w:val="0"/>
      <w:marTop w:val="0"/>
      <w:marBottom w:val="0"/>
      <w:divBdr>
        <w:top w:val="none" w:sz="0" w:space="0" w:color="auto"/>
        <w:left w:val="none" w:sz="0" w:space="0" w:color="auto"/>
        <w:bottom w:val="none" w:sz="0" w:space="0" w:color="auto"/>
        <w:right w:val="none" w:sz="0" w:space="0" w:color="auto"/>
      </w:divBdr>
    </w:div>
    <w:div w:id="668870986">
      <w:bodyDiv w:val="1"/>
      <w:marLeft w:val="0"/>
      <w:marRight w:val="0"/>
      <w:marTop w:val="0"/>
      <w:marBottom w:val="0"/>
      <w:divBdr>
        <w:top w:val="none" w:sz="0" w:space="0" w:color="auto"/>
        <w:left w:val="none" w:sz="0" w:space="0" w:color="auto"/>
        <w:bottom w:val="none" w:sz="0" w:space="0" w:color="auto"/>
        <w:right w:val="none" w:sz="0" w:space="0" w:color="auto"/>
      </w:divBdr>
    </w:div>
    <w:div w:id="673188541">
      <w:bodyDiv w:val="1"/>
      <w:marLeft w:val="0"/>
      <w:marRight w:val="0"/>
      <w:marTop w:val="0"/>
      <w:marBottom w:val="0"/>
      <w:divBdr>
        <w:top w:val="none" w:sz="0" w:space="0" w:color="auto"/>
        <w:left w:val="none" w:sz="0" w:space="0" w:color="auto"/>
        <w:bottom w:val="none" w:sz="0" w:space="0" w:color="auto"/>
        <w:right w:val="none" w:sz="0" w:space="0" w:color="auto"/>
      </w:divBdr>
    </w:div>
    <w:div w:id="687174878">
      <w:bodyDiv w:val="1"/>
      <w:marLeft w:val="0"/>
      <w:marRight w:val="0"/>
      <w:marTop w:val="0"/>
      <w:marBottom w:val="0"/>
      <w:divBdr>
        <w:top w:val="none" w:sz="0" w:space="0" w:color="auto"/>
        <w:left w:val="none" w:sz="0" w:space="0" w:color="auto"/>
        <w:bottom w:val="none" w:sz="0" w:space="0" w:color="auto"/>
        <w:right w:val="none" w:sz="0" w:space="0" w:color="auto"/>
      </w:divBdr>
    </w:div>
    <w:div w:id="755591369">
      <w:bodyDiv w:val="1"/>
      <w:marLeft w:val="0"/>
      <w:marRight w:val="0"/>
      <w:marTop w:val="0"/>
      <w:marBottom w:val="0"/>
      <w:divBdr>
        <w:top w:val="none" w:sz="0" w:space="0" w:color="auto"/>
        <w:left w:val="none" w:sz="0" w:space="0" w:color="auto"/>
        <w:bottom w:val="none" w:sz="0" w:space="0" w:color="auto"/>
        <w:right w:val="none" w:sz="0" w:space="0" w:color="auto"/>
      </w:divBdr>
    </w:div>
    <w:div w:id="768742795">
      <w:bodyDiv w:val="1"/>
      <w:marLeft w:val="0"/>
      <w:marRight w:val="0"/>
      <w:marTop w:val="0"/>
      <w:marBottom w:val="0"/>
      <w:divBdr>
        <w:top w:val="none" w:sz="0" w:space="0" w:color="auto"/>
        <w:left w:val="none" w:sz="0" w:space="0" w:color="auto"/>
        <w:bottom w:val="none" w:sz="0" w:space="0" w:color="auto"/>
        <w:right w:val="none" w:sz="0" w:space="0" w:color="auto"/>
      </w:divBdr>
    </w:div>
    <w:div w:id="774978977">
      <w:bodyDiv w:val="1"/>
      <w:marLeft w:val="0"/>
      <w:marRight w:val="0"/>
      <w:marTop w:val="0"/>
      <w:marBottom w:val="0"/>
      <w:divBdr>
        <w:top w:val="none" w:sz="0" w:space="0" w:color="auto"/>
        <w:left w:val="none" w:sz="0" w:space="0" w:color="auto"/>
        <w:bottom w:val="none" w:sz="0" w:space="0" w:color="auto"/>
        <w:right w:val="none" w:sz="0" w:space="0" w:color="auto"/>
      </w:divBdr>
    </w:div>
    <w:div w:id="787428231">
      <w:bodyDiv w:val="1"/>
      <w:marLeft w:val="0"/>
      <w:marRight w:val="0"/>
      <w:marTop w:val="0"/>
      <w:marBottom w:val="0"/>
      <w:divBdr>
        <w:top w:val="none" w:sz="0" w:space="0" w:color="auto"/>
        <w:left w:val="none" w:sz="0" w:space="0" w:color="auto"/>
        <w:bottom w:val="none" w:sz="0" w:space="0" w:color="auto"/>
        <w:right w:val="none" w:sz="0" w:space="0" w:color="auto"/>
      </w:divBdr>
    </w:div>
    <w:div w:id="803889394">
      <w:bodyDiv w:val="1"/>
      <w:marLeft w:val="0"/>
      <w:marRight w:val="0"/>
      <w:marTop w:val="0"/>
      <w:marBottom w:val="0"/>
      <w:divBdr>
        <w:top w:val="none" w:sz="0" w:space="0" w:color="auto"/>
        <w:left w:val="none" w:sz="0" w:space="0" w:color="auto"/>
        <w:bottom w:val="none" w:sz="0" w:space="0" w:color="auto"/>
        <w:right w:val="none" w:sz="0" w:space="0" w:color="auto"/>
      </w:divBdr>
    </w:div>
    <w:div w:id="809446723">
      <w:bodyDiv w:val="1"/>
      <w:marLeft w:val="0"/>
      <w:marRight w:val="0"/>
      <w:marTop w:val="0"/>
      <w:marBottom w:val="0"/>
      <w:divBdr>
        <w:top w:val="none" w:sz="0" w:space="0" w:color="auto"/>
        <w:left w:val="none" w:sz="0" w:space="0" w:color="auto"/>
        <w:bottom w:val="none" w:sz="0" w:space="0" w:color="auto"/>
        <w:right w:val="none" w:sz="0" w:space="0" w:color="auto"/>
      </w:divBdr>
    </w:div>
    <w:div w:id="814446151">
      <w:bodyDiv w:val="1"/>
      <w:marLeft w:val="0"/>
      <w:marRight w:val="0"/>
      <w:marTop w:val="0"/>
      <w:marBottom w:val="0"/>
      <w:divBdr>
        <w:top w:val="none" w:sz="0" w:space="0" w:color="auto"/>
        <w:left w:val="none" w:sz="0" w:space="0" w:color="auto"/>
        <w:bottom w:val="none" w:sz="0" w:space="0" w:color="auto"/>
        <w:right w:val="none" w:sz="0" w:space="0" w:color="auto"/>
      </w:divBdr>
    </w:div>
    <w:div w:id="816804871">
      <w:bodyDiv w:val="1"/>
      <w:marLeft w:val="0"/>
      <w:marRight w:val="0"/>
      <w:marTop w:val="0"/>
      <w:marBottom w:val="0"/>
      <w:divBdr>
        <w:top w:val="none" w:sz="0" w:space="0" w:color="auto"/>
        <w:left w:val="none" w:sz="0" w:space="0" w:color="auto"/>
        <w:bottom w:val="none" w:sz="0" w:space="0" w:color="auto"/>
        <w:right w:val="none" w:sz="0" w:space="0" w:color="auto"/>
      </w:divBdr>
    </w:div>
    <w:div w:id="871000146">
      <w:bodyDiv w:val="1"/>
      <w:marLeft w:val="0"/>
      <w:marRight w:val="0"/>
      <w:marTop w:val="0"/>
      <w:marBottom w:val="0"/>
      <w:divBdr>
        <w:top w:val="none" w:sz="0" w:space="0" w:color="auto"/>
        <w:left w:val="none" w:sz="0" w:space="0" w:color="auto"/>
        <w:bottom w:val="none" w:sz="0" w:space="0" w:color="auto"/>
        <w:right w:val="none" w:sz="0" w:space="0" w:color="auto"/>
      </w:divBdr>
    </w:div>
    <w:div w:id="885292762">
      <w:bodyDiv w:val="1"/>
      <w:marLeft w:val="0"/>
      <w:marRight w:val="0"/>
      <w:marTop w:val="0"/>
      <w:marBottom w:val="0"/>
      <w:divBdr>
        <w:top w:val="none" w:sz="0" w:space="0" w:color="auto"/>
        <w:left w:val="none" w:sz="0" w:space="0" w:color="auto"/>
        <w:bottom w:val="none" w:sz="0" w:space="0" w:color="auto"/>
        <w:right w:val="none" w:sz="0" w:space="0" w:color="auto"/>
      </w:divBdr>
    </w:div>
    <w:div w:id="892959191">
      <w:bodyDiv w:val="1"/>
      <w:marLeft w:val="0"/>
      <w:marRight w:val="0"/>
      <w:marTop w:val="0"/>
      <w:marBottom w:val="0"/>
      <w:divBdr>
        <w:top w:val="none" w:sz="0" w:space="0" w:color="auto"/>
        <w:left w:val="none" w:sz="0" w:space="0" w:color="auto"/>
        <w:bottom w:val="none" w:sz="0" w:space="0" w:color="auto"/>
        <w:right w:val="none" w:sz="0" w:space="0" w:color="auto"/>
      </w:divBdr>
    </w:div>
    <w:div w:id="894897261">
      <w:bodyDiv w:val="1"/>
      <w:marLeft w:val="0"/>
      <w:marRight w:val="0"/>
      <w:marTop w:val="0"/>
      <w:marBottom w:val="0"/>
      <w:divBdr>
        <w:top w:val="none" w:sz="0" w:space="0" w:color="auto"/>
        <w:left w:val="none" w:sz="0" w:space="0" w:color="auto"/>
        <w:bottom w:val="none" w:sz="0" w:space="0" w:color="auto"/>
        <w:right w:val="none" w:sz="0" w:space="0" w:color="auto"/>
      </w:divBdr>
    </w:div>
    <w:div w:id="895429991">
      <w:bodyDiv w:val="1"/>
      <w:marLeft w:val="0"/>
      <w:marRight w:val="0"/>
      <w:marTop w:val="0"/>
      <w:marBottom w:val="0"/>
      <w:divBdr>
        <w:top w:val="none" w:sz="0" w:space="0" w:color="auto"/>
        <w:left w:val="none" w:sz="0" w:space="0" w:color="auto"/>
        <w:bottom w:val="none" w:sz="0" w:space="0" w:color="auto"/>
        <w:right w:val="none" w:sz="0" w:space="0" w:color="auto"/>
      </w:divBdr>
    </w:div>
    <w:div w:id="903107484">
      <w:bodyDiv w:val="1"/>
      <w:marLeft w:val="0"/>
      <w:marRight w:val="0"/>
      <w:marTop w:val="0"/>
      <w:marBottom w:val="0"/>
      <w:divBdr>
        <w:top w:val="none" w:sz="0" w:space="0" w:color="auto"/>
        <w:left w:val="none" w:sz="0" w:space="0" w:color="auto"/>
        <w:bottom w:val="none" w:sz="0" w:space="0" w:color="auto"/>
        <w:right w:val="none" w:sz="0" w:space="0" w:color="auto"/>
      </w:divBdr>
    </w:div>
    <w:div w:id="908730432">
      <w:bodyDiv w:val="1"/>
      <w:marLeft w:val="0"/>
      <w:marRight w:val="0"/>
      <w:marTop w:val="0"/>
      <w:marBottom w:val="0"/>
      <w:divBdr>
        <w:top w:val="none" w:sz="0" w:space="0" w:color="auto"/>
        <w:left w:val="none" w:sz="0" w:space="0" w:color="auto"/>
        <w:bottom w:val="none" w:sz="0" w:space="0" w:color="auto"/>
        <w:right w:val="none" w:sz="0" w:space="0" w:color="auto"/>
      </w:divBdr>
    </w:div>
    <w:div w:id="916356462">
      <w:bodyDiv w:val="1"/>
      <w:marLeft w:val="0"/>
      <w:marRight w:val="0"/>
      <w:marTop w:val="0"/>
      <w:marBottom w:val="0"/>
      <w:divBdr>
        <w:top w:val="none" w:sz="0" w:space="0" w:color="auto"/>
        <w:left w:val="none" w:sz="0" w:space="0" w:color="auto"/>
        <w:bottom w:val="none" w:sz="0" w:space="0" w:color="auto"/>
        <w:right w:val="none" w:sz="0" w:space="0" w:color="auto"/>
      </w:divBdr>
    </w:div>
    <w:div w:id="918292690">
      <w:bodyDiv w:val="1"/>
      <w:marLeft w:val="0"/>
      <w:marRight w:val="0"/>
      <w:marTop w:val="0"/>
      <w:marBottom w:val="0"/>
      <w:divBdr>
        <w:top w:val="none" w:sz="0" w:space="0" w:color="auto"/>
        <w:left w:val="none" w:sz="0" w:space="0" w:color="auto"/>
        <w:bottom w:val="none" w:sz="0" w:space="0" w:color="auto"/>
        <w:right w:val="none" w:sz="0" w:space="0" w:color="auto"/>
      </w:divBdr>
    </w:div>
    <w:div w:id="918363780">
      <w:bodyDiv w:val="1"/>
      <w:marLeft w:val="0"/>
      <w:marRight w:val="0"/>
      <w:marTop w:val="0"/>
      <w:marBottom w:val="0"/>
      <w:divBdr>
        <w:top w:val="none" w:sz="0" w:space="0" w:color="auto"/>
        <w:left w:val="none" w:sz="0" w:space="0" w:color="auto"/>
        <w:bottom w:val="none" w:sz="0" w:space="0" w:color="auto"/>
        <w:right w:val="none" w:sz="0" w:space="0" w:color="auto"/>
      </w:divBdr>
    </w:div>
    <w:div w:id="927419763">
      <w:bodyDiv w:val="1"/>
      <w:marLeft w:val="0"/>
      <w:marRight w:val="0"/>
      <w:marTop w:val="0"/>
      <w:marBottom w:val="0"/>
      <w:divBdr>
        <w:top w:val="none" w:sz="0" w:space="0" w:color="auto"/>
        <w:left w:val="none" w:sz="0" w:space="0" w:color="auto"/>
        <w:bottom w:val="none" w:sz="0" w:space="0" w:color="auto"/>
        <w:right w:val="none" w:sz="0" w:space="0" w:color="auto"/>
      </w:divBdr>
    </w:div>
    <w:div w:id="933516221">
      <w:bodyDiv w:val="1"/>
      <w:marLeft w:val="0"/>
      <w:marRight w:val="0"/>
      <w:marTop w:val="0"/>
      <w:marBottom w:val="0"/>
      <w:divBdr>
        <w:top w:val="none" w:sz="0" w:space="0" w:color="auto"/>
        <w:left w:val="none" w:sz="0" w:space="0" w:color="auto"/>
        <w:bottom w:val="none" w:sz="0" w:space="0" w:color="auto"/>
        <w:right w:val="none" w:sz="0" w:space="0" w:color="auto"/>
      </w:divBdr>
    </w:div>
    <w:div w:id="949167017">
      <w:bodyDiv w:val="1"/>
      <w:marLeft w:val="0"/>
      <w:marRight w:val="0"/>
      <w:marTop w:val="0"/>
      <w:marBottom w:val="0"/>
      <w:divBdr>
        <w:top w:val="none" w:sz="0" w:space="0" w:color="auto"/>
        <w:left w:val="none" w:sz="0" w:space="0" w:color="auto"/>
        <w:bottom w:val="none" w:sz="0" w:space="0" w:color="auto"/>
        <w:right w:val="none" w:sz="0" w:space="0" w:color="auto"/>
      </w:divBdr>
    </w:div>
    <w:div w:id="956958032">
      <w:bodyDiv w:val="1"/>
      <w:marLeft w:val="0"/>
      <w:marRight w:val="0"/>
      <w:marTop w:val="0"/>
      <w:marBottom w:val="0"/>
      <w:divBdr>
        <w:top w:val="none" w:sz="0" w:space="0" w:color="auto"/>
        <w:left w:val="none" w:sz="0" w:space="0" w:color="auto"/>
        <w:bottom w:val="none" w:sz="0" w:space="0" w:color="auto"/>
        <w:right w:val="none" w:sz="0" w:space="0" w:color="auto"/>
      </w:divBdr>
    </w:div>
    <w:div w:id="972442331">
      <w:bodyDiv w:val="1"/>
      <w:marLeft w:val="0"/>
      <w:marRight w:val="0"/>
      <w:marTop w:val="0"/>
      <w:marBottom w:val="0"/>
      <w:divBdr>
        <w:top w:val="none" w:sz="0" w:space="0" w:color="auto"/>
        <w:left w:val="none" w:sz="0" w:space="0" w:color="auto"/>
        <w:bottom w:val="none" w:sz="0" w:space="0" w:color="auto"/>
        <w:right w:val="none" w:sz="0" w:space="0" w:color="auto"/>
      </w:divBdr>
    </w:div>
    <w:div w:id="1008287625">
      <w:bodyDiv w:val="1"/>
      <w:marLeft w:val="0"/>
      <w:marRight w:val="0"/>
      <w:marTop w:val="0"/>
      <w:marBottom w:val="0"/>
      <w:divBdr>
        <w:top w:val="none" w:sz="0" w:space="0" w:color="auto"/>
        <w:left w:val="none" w:sz="0" w:space="0" w:color="auto"/>
        <w:bottom w:val="none" w:sz="0" w:space="0" w:color="auto"/>
        <w:right w:val="none" w:sz="0" w:space="0" w:color="auto"/>
      </w:divBdr>
    </w:div>
    <w:div w:id="1011108844">
      <w:bodyDiv w:val="1"/>
      <w:marLeft w:val="0"/>
      <w:marRight w:val="0"/>
      <w:marTop w:val="0"/>
      <w:marBottom w:val="0"/>
      <w:divBdr>
        <w:top w:val="none" w:sz="0" w:space="0" w:color="auto"/>
        <w:left w:val="none" w:sz="0" w:space="0" w:color="auto"/>
        <w:bottom w:val="none" w:sz="0" w:space="0" w:color="auto"/>
        <w:right w:val="none" w:sz="0" w:space="0" w:color="auto"/>
      </w:divBdr>
    </w:div>
    <w:div w:id="1086145909">
      <w:bodyDiv w:val="1"/>
      <w:marLeft w:val="0"/>
      <w:marRight w:val="0"/>
      <w:marTop w:val="0"/>
      <w:marBottom w:val="0"/>
      <w:divBdr>
        <w:top w:val="none" w:sz="0" w:space="0" w:color="auto"/>
        <w:left w:val="none" w:sz="0" w:space="0" w:color="auto"/>
        <w:bottom w:val="none" w:sz="0" w:space="0" w:color="auto"/>
        <w:right w:val="none" w:sz="0" w:space="0" w:color="auto"/>
      </w:divBdr>
    </w:div>
    <w:div w:id="1104182517">
      <w:bodyDiv w:val="1"/>
      <w:marLeft w:val="0"/>
      <w:marRight w:val="0"/>
      <w:marTop w:val="0"/>
      <w:marBottom w:val="0"/>
      <w:divBdr>
        <w:top w:val="none" w:sz="0" w:space="0" w:color="auto"/>
        <w:left w:val="none" w:sz="0" w:space="0" w:color="auto"/>
        <w:bottom w:val="none" w:sz="0" w:space="0" w:color="auto"/>
        <w:right w:val="none" w:sz="0" w:space="0" w:color="auto"/>
      </w:divBdr>
    </w:div>
    <w:div w:id="1119882281">
      <w:bodyDiv w:val="1"/>
      <w:marLeft w:val="0"/>
      <w:marRight w:val="0"/>
      <w:marTop w:val="0"/>
      <w:marBottom w:val="0"/>
      <w:divBdr>
        <w:top w:val="none" w:sz="0" w:space="0" w:color="auto"/>
        <w:left w:val="none" w:sz="0" w:space="0" w:color="auto"/>
        <w:bottom w:val="none" w:sz="0" w:space="0" w:color="auto"/>
        <w:right w:val="none" w:sz="0" w:space="0" w:color="auto"/>
      </w:divBdr>
    </w:div>
    <w:div w:id="1141575010">
      <w:bodyDiv w:val="1"/>
      <w:marLeft w:val="0"/>
      <w:marRight w:val="0"/>
      <w:marTop w:val="0"/>
      <w:marBottom w:val="0"/>
      <w:divBdr>
        <w:top w:val="none" w:sz="0" w:space="0" w:color="auto"/>
        <w:left w:val="none" w:sz="0" w:space="0" w:color="auto"/>
        <w:bottom w:val="none" w:sz="0" w:space="0" w:color="auto"/>
        <w:right w:val="none" w:sz="0" w:space="0" w:color="auto"/>
      </w:divBdr>
    </w:div>
    <w:div w:id="1144079979">
      <w:bodyDiv w:val="1"/>
      <w:marLeft w:val="0"/>
      <w:marRight w:val="0"/>
      <w:marTop w:val="0"/>
      <w:marBottom w:val="0"/>
      <w:divBdr>
        <w:top w:val="none" w:sz="0" w:space="0" w:color="auto"/>
        <w:left w:val="none" w:sz="0" w:space="0" w:color="auto"/>
        <w:bottom w:val="none" w:sz="0" w:space="0" w:color="auto"/>
        <w:right w:val="none" w:sz="0" w:space="0" w:color="auto"/>
      </w:divBdr>
    </w:div>
    <w:div w:id="1146700300">
      <w:bodyDiv w:val="1"/>
      <w:marLeft w:val="0"/>
      <w:marRight w:val="0"/>
      <w:marTop w:val="0"/>
      <w:marBottom w:val="0"/>
      <w:divBdr>
        <w:top w:val="none" w:sz="0" w:space="0" w:color="auto"/>
        <w:left w:val="none" w:sz="0" w:space="0" w:color="auto"/>
        <w:bottom w:val="none" w:sz="0" w:space="0" w:color="auto"/>
        <w:right w:val="none" w:sz="0" w:space="0" w:color="auto"/>
      </w:divBdr>
    </w:div>
    <w:div w:id="1167792497">
      <w:bodyDiv w:val="1"/>
      <w:marLeft w:val="0"/>
      <w:marRight w:val="0"/>
      <w:marTop w:val="0"/>
      <w:marBottom w:val="0"/>
      <w:divBdr>
        <w:top w:val="none" w:sz="0" w:space="0" w:color="auto"/>
        <w:left w:val="none" w:sz="0" w:space="0" w:color="auto"/>
        <w:bottom w:val="none" w:sz="0" w:space="0" w:color="auto"/>
        <w:right w:val="none" w:sz="0" w:space="0" w:color="auto"/>
      </w:divBdr>
    </w:div>
    <w:div w:id="1171214658">
      <w:bodyDiv w:val="1"/>
      <w:marLeft w:val="0"/>
      <w:marRight w:val="0"/>
      <w:marTop w:val="0"/>
      <w:marBottom w:val="0"/>
      <w:divBdr>
        <w:top w:val="none" w:sz="0" w:space="0" w:color="auto"/>
        <w:left w:val="none" w:sz="0" w:space="0" w:color="auto"/>
        <w:bottom w:val="none" w:sz="0" w:space="0" w:color="auto"/>
        <w:right w:val="none" w:sz="0" w:space="0" w:color="auto"/>
      </w:divBdr>
    </w:div>
    <w:div w:id="1195145555">
      <w:bodyDiv w:val="1"/>
      <w:marLeft w:val="0"/>
      <w:marRight w:val="0"/>
      <w:marTop w:val="0"/>
      <w:marBottom w:val="0"/>
      <w:divBdr>
        <w:top w:val="none" w:sz="0" w:space="0" w:color="auto"/>
        <w:left w:val="none" w:sz="0" w:space="0" w:color="auto"/>
        <w:bottom w:val="none" w:sz="0" w:space="0" w:color="auto"/>
        <w:right w:val="none" w:sz="0" w:space="0" w:color="auto"/>
      </w:divBdr>
    </w:div>
    <w:div w:id="1206135633">
      <w:bodyDiv w:val="1"/>
      <w:marLeft w:val="0"/>
      <w:marRight w:val="0"/>
      <w:marTop w:val="0"/>
      <w:marBottom w:val="0"/>
      <w:divBdr>
        <w:top w:val="none" w:sz="0" w:space="0" w:color="auto"/>
        <w:left w:val="none" w:sz="0" w:space="0" w:color="auto"/>
        <w:bottom w:val="none" w:sz="0" w:space="0" w:color="auto"/>
        <w:right w:val="none" w:sz="0" w:space="0" w:color="auto"/>
      </w:divBdr>
    </w:div>
    <w:div w:id="1223247629">
      <w:bodyDiv w:val="1"/>
      <w:marLeft w:val="0"/>
      <w:marRight w:val="0"/>
      <w:marTop w:val="0"/>
      <w:marBottom w:val="0"/>
      <w:divBdr>
        <w:top w:val="none" w:sz="0" w:space="0" w:color="auto"/>
        <w:left w:val="none" w:sz="0" w:space="0" w:color="auto"/>
        <w:bottom w:val="none" w:sz="0" w:space="0" w:color="auto"/>
        <w:right w:val="none" w:sz="0" w:space="0" w:color="auto"/>
      </w:divBdr>
    </w:div>
    <w:div w:id="1230968955">
      <w:bodyDiv w:val="1"/>
      <w:marLeft w:val="0"/>
      <w:marRight w:val="0"/>
      <w:marTop w:val="0"/>
      <w:marBottom w:val="0"/>
      <w:divBdr>
        <w:top w:val="none" w:sz="0" w:space="0" w:color="auto"/>
        <w:left w:val="none" w:sz="0" w:space="0" w:color="auto"/>
        <w:bottom w:val="none" w:sz="0" w:space="0" w:color="auto"/>
        <w:right w:val="none" w:sz="0" w:space="0" w:color="auto"/>
      </w:divBdr>
    </w:div>
    <w:div w:id="1241255162">
      <w:bodyDiv w:val="1"/>
      <w:marLeft w:val="0"/>
      <w:marRight w:val="0"/>
      <w:marTop w:val="0"/>
      <w:marBottom w:val="0"/>
      <w:divBdr>
        <w:top w:val="none" w:sz="0" w:space="0" w:color="auto"/>
        <w:left w:val="none" w:sz="0" w:space="0" w:color="auto"/>
        <w:bottom w:val="none" w:sz="0" w:space="0" w:color="auto"/>
        <w:right w:val="none" w:sz="0" w:space="0" w:color="auto"/>
      </w:divBdr>
    </w:div>
    <w:div w:id="1269393844">
      <w:bodyDiv w:val="1"/>
      <w:marLeft w:val="0"/>
      <w:marRight w:val="0"/>
      <w:marTop w:val="0"/>
      <w:marBottom w:val="0"/>
      <w:divBdr>
        <w:top w:val="none" w:sz="0" w:space="0" w:color="auto"/>
        <w:left w:val="none" w:sz="0" w:space="0" w:color="auto"/>
        <w:bottom w:val="none" w:sz="0" w:space="0" w:color="auto"/>
        <w:right w:val="none" w:sz="0" w:space="0" w:color="auto"/>
      </w:divBdr>
    </w:div>
    <w:div w:id="1282952859">
      <w:bodyDiv w:val="1"/>
      <w:marLeft w:val="0"/>
      <w:marRight w:val="0"/>
      <w:marTop w:val="0"/>
      <w:marBottom w:val="0"/>
      <w:divBdr>
        <w:top w:val="none" w:sz="0" w:space="0" w:color="auto"/>
        <w:left w:val="none" w:sz="0" w:space="0" w:color="auto"/>
        <w:bottom w:val="none" w:sz="0" w:space="0" w:color="auto"/>
        <w:right w:val="none" w:sz="0" w:space="0" w:color="auto"/>
      </w:divBdr>
    </w:div>
    <w:div w:id="1304314573">
      <w:bodyDiv w:val="1"/>
      <w:marLeft w:val="0"/>
      <w:marRight w:val="0"/>
      <w:marTop w:val="0"/>
      <w:marBottom w:val="0"/>
      <w:divBdr>
        <w:top w:val="none" w:sz="0" w:space="0" w:color="auto"/>
        <w:left w:val="none" w:sz="0" w:space="0" w:color="auto"/>
        <w:bottom w:val="none" w:sz="0" w:space="0" w:color="auto"/>
        <w:right w:val="none" w:sz="0" w:space="0" w:color="auto"/>
      </w:divBdr>
    </w:div>
    <w:div w:id="1318221807">
      <w:bodyDiv w:val="1"/>
      <w:marLeft w:val="0"/>
      <w:marRight w:val="0"/>
      <w:marTop w:val="0"/>
      <w:marBottom w:val="0"/>
      <w:divBdr>
        <w:top w:val="none" w:sz="0" w:space="0" w:color="auto"/>
        <w:left w:val="none" w:sz="0" w:space="0" w:color="auto"/>
        <w:bottom w:val="none" w:sz="0" w:space="0" w:color="auto"/>
        <w:right w:val="none" w:sz="0" w:space="0" w:color="auto"/>
      </w:divBdr>
    </w:div>
    <w:div w:id="1326862314">
      <w:bodyDiv w:val="1"/>
      <w:marLeft w:val="0"/>
      <w:marRight w:val="0"/>
      <w:marTop w:val="0"/>
      <w:marBottom w:val="0"/>
      <w:divBdr>
        <w:top w:val="none" w:sz="0" w:space="0" w:color="auto"/>
        <w:left w:val="none" w:sz="0" w:space="0" w:color="auto"/>
        <w:bottom w:val="none" w:sz="0" w:space="0" w:color="auto"/>
        <w:right w:val="none" w:sz="0" w:space="0" w:color="auto"/>
      </w:divBdr>
    </w:div>
    <w:div w:id="1334799582">
      <w:bodyDiv w:val="1"/>
      <w:marLeft w:val="0"/>
      <w:marRight w:val="0"/>
      <w:marTop w:val="0"/>
      <w:marBottom w:val="0"/>
      <w:divBdr>
        <w:top w:val="none" w:sz="0" w:space="0" w:color="auto"/>
        <w:left w:val="none" w:sz="0" w:space="0" w:color="auto"/>
        <w:bottom w:val="none" w:sz="0" w:space="0" w:color="auto"/>
        <w:right w:val="none" w:sz="0" w:space="0" w:color="auto"/>
      </w:divBdr>
    </w:div>
    <w:div w:id="1336617489">
      <w:bodyDiv w:val="1"/>
      <w:marLeft w:val="0"/>
      <w:marRight w:val="0"/>
      <w:marTop w:val="0"/>
      <w:marBottom w:val="0"/>
      <w:divBdr>
        <w:top w:val="none" w:sz="0" w:space="0" w:color="auto"/>
        <w:left w:val="none" w:sz="0" w:space="0" w:color="auto"/>
        <w:bottom w:val="none" w:sz="0" w:space="0" w:color="auto"/>
        <w:right w:val="none" w:sz="0" w:space="0" w:color="auto"/>
      </w:divBdr>
    </w:div>
    <w:div w:id="1359038382">
      <w:bodyDiv w:val="1"/>
      <w:marLeft w:val="0"/>
      <w:marRight w:val="0"/>
      <w:marTop w:val="0"/>
      <w:marBottom w:val="0"/>
      <w:divBdr>
        <w:top w:val="none" w:sz="0" w:space="0" w:color="auto"/>
        <w:left w:val="none" w:sz="0" w:space="0" w:color="auto"/>
        <w:bottom w:val="none" w:sz="0" w:space="0" w:color="auto"/>
        <w:right w:val="none" w:sz="0" w:space="0" w:color="auto"/>
      </w:divBdr>
    </w:div>
    <w:div w:id="1361012471">
      <w:bodyDiv w:val="1"/>
      <w:marLeft w:val="0"/>
      <w:marRight w:val="0"/>
      <w:marTop w:val="0"/>
      <w:marBottom w:val="0"/>
      <w:divBdr>
        <w:top w:val="none" w:sz="0" w:space="0" w:color="auto"/>
        <w:left w:val="none" w:sz="0" w:space="0" w:color="auto"/>
        <w:bottom w:val="none" w:sz="0" w:space="0" w:color="auto"/>
        <w:right w:val="none" w:sz="0" w:space="0" w:color="auto"/>
      </w:divBdr>
    </w:div>
    <w:div w:id="1378776312">
      <w:bodyDiv w:val="1"/>
      <w:marLeft w:val="0"/>
      <w:marRight w:val="0"/>
      <w:marTop w:val="0"/>
      <w:marBottom w:val="0"/>
      <w:divBdr>
        <w:top w:val="none" w:sz="0" w:space="0" w:color="auto"/>
        <w:left w:val="none" w:sz="0" w:space="0" w:color="auto"/>
        <w:bottom w:val="none" w:sz="0" w:space="0" w:color="auto"/>
        <w:right w:val="none" w:sz="0" w:space="0" w:color="auto"/>
      </w:divBdr>
    </w:div>
    <w:div w:id="1381057069">
      <w:bodyDiv w:val="1"/>
      <w:marLeft w:val="0"/>
      <w:marRight w:val="0"/>
      <w:marTop w:val="0"/>
      <w:marBottom w:val="0"/>
      <w:divBdr>
        <w:top w:val="none" w:sz="0" w:space="0" w:color="auto"/>
        <w:left w:val="none" w:sz="0" w:space="0" w:color="auto"/>
        <w:bottom w:val="none" w:sz="0" w:space="0" w:color="auto"/>
        <w:right w:val="none" w:sz="0" w:space="0" w:color="auto"/>
      </w:divBdr>
    </w:div>
    <w:div w:id="1395736896">
      <w:bodyDiv w:val="1"/>
      <w:marLeft w:val="0"/>
      <w:marRight w:val="0"/>
      <w:marTop w:val="0"/>
      <w:marBottom w:val="0"/>
      <w:divBdr>
        <w:top w:val="none" w:sz="0" w:space="0" w:color="auto"/>
        <w:left w:val="none" w:sz="0" w:space="0" w:color="auto"/>
        <w:bottom w:val="none" w:sz="0" w:space="0" w:color="auto"/>
        <w:right w:val="none" w:sz="0" w:space="0" w:color="auto"/>
      </w:divBdr>
    </w:div>
    <w:div w:id="1437288183">
      <w:bodyDiv w:val="1"/>
      <w:marLeft w:val="0"/>
      <w:marRight w:val="0"/>
      <w:marTop w:val="0"/>
      <w:marBottom w:val="0"/>
      <w:divBdr>
        <w:top w:val="none" w:sz="0" w:space="0" w:color="auto"/>
        <w:left w:val="none" w:sz="0" w:space="0" w:color="auto"/>
        <w:bottom w:val="none" w:sz="0" w:space="0" w:color="auto"/>
        <w:right w:val="none" w:sz="0" w:space="0" w:color="auto"/>
      </w:divBdr>
    </w:div>
    <w:div w:id="1439175017">
      <w:bodyDiv w:val="1"/>
      <w:marLeft w:val="0"/>
      <w:marRight w:val="0"/>
      <w:marTop w:val="0"/>
      <w:marBottom w:val="0"/>
      <w:divBdr>
        <w:top w:val="none" w:sz="0" w:space="0" w:color="auto"/>
        <w:left w:val="none" w:sz="0" w:space="0" w:color="auto"/>
        <w:bottom w:val="none" w:sz="0" w:space="0" w:color="auto"/>
        <w:right w:val="none" w:sz="0" w:space="0" w:color="auto"/>
      </w:divBdr>
    </w:div>
    <w:div w:id="1440954592">
      <w:bodyDiv w:val="1"/>
      <w:marLeft w:val="0"/>
      <w:marRight w:val="0"/>
      <w:marTop w:val="0"/>
      <w:marBottom w:val="0"/>
      <w:divBdr>
        <w:top w:val="none" w:sz="0" w:space="0" w:color="auto"/>
        <w:left w:val="none" w:sz="0" w:space="0" w:color="auto"/>
        <w:bottom w:val="none" w:sz="0" w:space="0" w:color="auto"/>
        <w:right w:val="none" w:sz="0" w:space="0" w:color="auto"/>
      </w:divBdr>
    </w:div>
    <w:div w:id="1453549444">
      <w:bodyDiv w:val="1"/>
      <w:marLeft w:val="0"/>
      <w:marRight w:val="0"/>
      <w:marTop w:val="0"/>
      <w:marBottom w:val="0"/>
      <w:divBdr>
        <w:top w:val="none" w:sz="0" w:space="0" w:color="auto"/>
        <w:left w:val="none" w:sz="0" w:space="0" w:color="auto"/>
        <w:bottom w:val="none" w:sz="0" w:space="0" w:color="auto"/>
        <w:right w:val="none" w:sz="0" w:space="0" w:color="auto"/>
      </w:divBdr>
    </w:div>
    <w:div w:id="1476222304">
      <w:bodyDiv w:val="1"/>
      <w:marLeft w:val="0"/>
      <w:marRight w:val="0"/>
      <w:marTop w:val="0"/>
      <w:marBottom w:val="0"/>
      <w:divBdr>
        <w:top w:val="none" w:sz="0" w:space="0" w:color="auto"/>
        <w:left w:val="none" w:sz="0" w:space="0" w:color="auto"/>
        <w:bottom w:val="none" w:sz="0" w:space="0" w:color="auto"/>
        <w:right w:val="none" w:sz="0" w:space="0" w:color="auto"/>
      </w:divBdr>
    </w:div>
    <w:div w:id="1512799590">
      <w:bodyDiv w:val="1"/>
      <w:marLeft w:val="0"/>
      <w:marRight w:val="0"/>
      <w:marTop w:val="0"/>
      <w:marBottom w:val="0"/>
      <w:divBdr>
        <w:top w:val="none" w:sz="0" w:space="0" w:color="auto"/>
        <w:left w:val="none" w:sz="0" w:space="0" w:color="auto"/>
        <w:bottom w:val="none" w:sz="0" w:space="0" w:color="auto"/>
        <w:right w:val="none" w:sz="0" w:space="0" w:color="auto"/>
      </w:divBdr>
    </w:div>
    <w:div w:id="1517160459">
      <w:bodyDiv w:val="1"/>
      <w:marLeft w:val="0"/>
      <w:marRight w:val="0"/>
      <w:marTop w:val="0"/>
      <w:marBottom w:val="0"/>
      <w:divBdr>
        <w:top w:val="none" w:sz="0" w:space="0" w:color="auto"/>
        <w:left w:val="none" w:sz="0" w:space="0" w:color="auto"/>
        <w:bottom w:val="none" w:sz="0" w:space="0" w:color="auto"/>
        <w:right w:val="none" w:sz="0" w:space="0" w:color="auto"/>
      </w:divBdr>
    </w:div>
    <w:div w:id="1533837246">
      <w:bodyDiv w:val="1"/>
      <w:marLeft w:val="0"/>
      <w:marRight w:val="0"/>
      <w:marTop w:val="0"/>
      <w:marBottom w:val="0"/>
      <w:divBdr>
        <w:top w:val="none" w:sz="0" w:space="0" w:color="auto"/>
        <w:left w:val="none" w:sz="0" w:space="0" w:color="auto"/>
        <w:bottom w:val="none" w:sz="0" w:space="0" w:color="auto"/>
        <w:right w:val="none" w:sz="0" w:space="0" w:color="auto"/>
      </w:divBdr>
    </w:div>
    <w:div w:id="1541238577">
      <w:bodyDiv w:val="1"/>
      <w:marLeft w:val="0"/>
      <w:marRight w:val="0"/>
      <w:marTop w:val="0"/>
      <w:marBottom w:val="0"/>
      <w:divBdr>
        <w:top w:val="none" w:sz="0" w:space="0" w:color="auto"/>
        <w:left w:val="none" w:sz="0" w:space="0" w:color="auto"/>
        <w:bottom w:val="none" w:sz="0" w:space="0" w:color="auto"/>
        <w:right w:val="none" w:sz="0" w:space="0" w:color="auto"/>
      </w:divBdr>
    </w:div>
    <w:div w:id="1555585612">
      <w:bodyDiv w:val="1"/>
      <w:marLeft w:val="0"/>
      <w:marRight w:val="0"/>
      <w:marTop w:val="0"/>
      <w:marBottom w:val="0"/>
      <w:divBdr>
        <w:top w:val="none" w:sz="0" w:space="0" w:color="auto"/>
        <w:left w:val="none" w:sz="0" w:space="0" w:color="auto"/>
        <w:bottom w:val="none" w:sz="0" w:space="0" w:color="auto"/>
        <w:right w:val="none" w:sz="0" w:space="0" w:color="auto"/>
      </w:divBdr>
    </w:div>
    <w:div w:id="1584875696">
      <w:bodyDiv w:val="1"/>
      <w:marLeft w:val="0"/>
      <w:marRight w:val="0"/>
      <w:marTop w:val="0"/>
      <w:marBottom w:val="0"/>
      <w:divBdr>
        <w:top w:val="none" w:sz="0" w:space="0" w:color="auto"/>
        <w:left w:val="none" w:sz="0" w:space="0" w:color="auto"/>
        <w:bottom w:val="none" w:sz="0" w:space="0" w:color="auto"/>
        <w:right w:val="none" w:sz="0" w:space="0" w:color="auto"/>
      </w:divBdr>
    </w:div>
    <w:div w:id="1593736998">
      <w:bodyDiv w:val="1"/>
      <w:marLeft w:val="0"/>
      <w:marRight w:val="0"/>
      <w:marTop w:val="0"/>
      <w:marBottom w:val="0"/>
      <w:divBdr>
        <w:top w:val="none" w:sz="0" w:space="0" w:color="auto"/>
        <w:left w:val="none" w:sz="0" w:space="0" w:color="auto"/>
        <w:bottom w:val="none" w:sz="0" w:space="0" w:color="auto"/>
        <w:right w:val="none" w:sz="0" w:space="0" w:color="auto"/>
      </w:divBdr>
    </w:div>
    <w:div w:id="1595824871">
      <w:bodyDiv w:val="1"/>
      <w:marLeft w:val="0"/>
      <w:marRight w:val="0"/>
      <w:marTop w:val="0"/>
      <w:marBottom w:val="0"/>
      <w:divBdr>
        <w:top w:val="none" w:sz="0" w:space="0" w:color="auto"/>
        <w:left w:val="none" w:sz="0" w:space="0" w:color="auto"/>
        <w:bottom w:val="none" w:sz="0" w:space="0" w:color="auto"/>
        <w:right w:val="none" w:sz="0" w:space="0" w:color="auto"/>
      </w:divBdr>
    </w:div>
    <w:div w:id="1609583602">
      <w:bodyDiv w:val="1"/>
      <w:marLeft w:val="0"/>
      <w:marRight w:val="0"/>
      <w:marTop w:val="0"/>
      <w:marBottom w:val="0"/>
      <w:divBdr>
        <w:top w:val="none" w:sz="0" w:space="0" w:color="auto"/>
        <w:left w:val="none" w:sz="0" w:space="0" w:color="auto"/>
        <w:bottom w:val="none" w:sz="0" w:space="0" w:color="auto"/>
        <w:right w:val="none" w:sz="0" w:space="0" w:color="auto"/>
      </w:divBdr>
    </w:div>
    <w:div w:id="1614359111">
      <w:bodyDiv w:val="1"/>
      <w:marLeft w:val="0"/>
      <w:marRight w:val="0"/>
      <w:marTop w:val="0"/>
      <w:marBottom w:val="0"/>
      <w:divBdr>
        <w:top w:val="none" w:sz="0" w:space="0" w:color="auto"/>
        <w:left w:val="none" w:sz="0" w:space="0" w:color="auto"/>
        <w:bottom w:val="none" w:sz="0" w:space="0" w:color="auto"/>
        <w:right w:val="none" w:sz="0" w:space="0" w:color="auto"/>
      </w:divBdr>
    </w:div>
    <w:div w:id="1628776973">
      <w:bodyDiv w:val="1"/>
      <w:marLeft w:val="0"/>
      <w:marRight w:val="0"/>
      <w:marTop w:val="0"/>
      <w:marBottom w:val="0"/>
      <w:divBdr>
        <w:top w:val="none" w:sz="0" w:space="0" w:color="auto"/>
        <w:left w:val="none" w:sz="0" w:space="0" w:color="auto"/>
        <w:bottom w:val="none" w:sz="0" w:space="0" w:color="auto"/>
        <w:right w:val="none" w:sz="0" w:space="0" w:color="auto"/>
      </w:divBdr>
    </w:div>
    <w:div w:id="1661498806">
      <w:bodyDiv w:val="1"/>
      <w:marLeft w:val="0"/>
      <w:marRight w:val="0"/>
      <w:marTop w:val="0"/>
      <w:marBottom w:val="0"/>
      <w:divBdr>
        <w:top w:val="none" w:sz="0" w:space="0" w:color="auto"/>
        <w:left w:val="none" w:sz="0" w:space="0" w:color="auto"/>
        <w:bottom w:val="none" w:sz="0" w:space="0" w:color="auto"/>
        <w:right w:val="none" w:sz="0" w:space="0" w:color="auto"/>
      </w:divBdr>
    </w:div>
    <w:div w:id="1679504749">
      <w:bodyDiv w:val="1"/>
      <w:marLeft w:val="0"/>
      <w:marRight w:val="0"/>
      <w:marTop w:val="0"/>
      <w:marBottom w:val="0"/>
      <w:divBdr>
        <w:top w:val="none" w:sz="0" w:space="0" w:color="auto"/>
        <w:left w:val="none" w:sz="0" w:space="0" w:color="auto"/>
        <w:bottom w:val="none" w:sz="0" w:space="0" w:color="auto"/>
        <w:right w:val="none" w:sz="0" w:space="0" w:color="auto"/>
      </w:divBdr>
    </w:div>
    <w:div w:id="1699233765">
      <w:bodyDiv w:val="1"/>
      <w:marLeft w:val="0"/>
      <w:marRight w:val="0"/>
      <w:marTop w:val="0"/>
      <w:marBottom w:val="0"/>
      <w:divBdr>
        <w:top w:val="none" w:sz="0" w:space="0" w:color="auto"/>
        <w:left w:val="none" w:sz="0" w:space="0" w:color="auto"/>
        <w:bottom w:val="none" w:sz="0" w:space="0" w:color="auto"/>
        <w:right w:val="none" w:sz="0" w:space="0" w:color="auto"/>
      </w:divBdr>
    </w:div>
    <w:div w:id="1700812450">
      <w:bodyDiv w:val="1"/>
      <w:marLeft w:val="0"/>
      <w:marRight w:val="0"/>
      <w:marTop w:val="0"/>
      <w:marBottom w:val="0"/>
      <w:divBdr>
        <w:top w:val="none" w:sz="0" w:space="0" w:color="auto"/>
        <w:left w:val="none" w:sz="0" w:space="0" w:color="auto"/>
        <w:bottom w:val="none" w:sz="0" w:space="0" w:color="auto"/>
        <w:right w:val="none" w:sz="0" w:space="0" w:color="auto"/>
      </w:divBdr>
    </w:div>
    <w:div w:id="1729382639">
      <w:bodyDiv w:val="1"/>
      <w:marLeft w:val="0"/>
      <w:marRight w:val="0"/>
      <w:marTop w:val="0"/>
      <w:marBottom w:val="0"/>
      <w:divBdr>
        <w:top w:val="none" w:sz="0" w:space="0" w:color="auto"/>
        <w:left w:val="none" w:sz="0" w:space="0" w:color="auto"/>
        <w:bottom w:val="none" w:sz="0" w:space="0" w:color="auto"/>
        <w:right w:val="none" w:sz="0" w:space="0" w:color="auto"/>
      </w:divBdr>
    </w:div>
    <w:div w:id="1740051489">
      <w:bodyDiv w:val="1"/>
      <w:marLeft w:val="0"/>
      <w:marRight w:val="0"/>
      <w:marTop w:val="0"/>
      <w:marBottom w:val="0"/>
      <w:divBdr>
        <w:top w:val="none" w:sz="0" w:space="0" w:color="auto"/>
        <w:left w:val="none" w:sz="0" w:space="0" w:color="auto"/>
        <w:bottom w:val="none" w:sz="0" w:space="0" w:color="auto"/>
        <w:right w:val="none" w:sz="0" w:space="0" w:color="auto"/>
      </w:divBdr>
    </w:div>
    <w:div w:id="1760056115">
      <w:bodyDiv w:val="1"/>
      <w:marLeft w:val="0"/>
      <w:marRight w:val="0"/>
      <w:marTop w:val="0"/>
      <w:marBottom w:val="0"/>
      <w:divBdr>
        <w:top w:val="none" w:sz="0" w:space="0" w:color="auto"/>
        <w:left w:val="none" w:sz="0" w:space="0" w:color="auto"/>
        <w:bottom w:val="none" w:sz="0" w:space="0" w:color="auto"/>
        <w:right w:val="none" w:sz="0" w:space="0" w:color="auto"/>
      </w:divBdr>
    </w:div>
    <w:div w:id="1767534702">
      <w:bodyDiv w:val="1"/>
      <w:marLeft w:val="0"/>
      <w:marRight w:val="0"/>
      <w:marTop w:val="0"/>
      <w:marBottom w:val="0"/>
      <w:divBdr>
        <w:top w:val="none" w:sz="0" w:space="0" w:color="auto"/>
        <w:left w:val="none" w:sz="0" w:space="0" w:color="auto"/>
        <w:bottom w:val="none" w:sz="0" w:space="0" w:color="auto"/>
        <w:right w:val="none" w:sz="0" w:space="0" w:color="auto"/>
      </w:divBdr>
    </w:div>
    <w:div w:id="1772629730">
      <w:bodyDiv w:val="1"/>
      <w:marLeft w:val="0"/>
      <w:marRight w:val="0"/>
      <w:marTop w:val="0"/>
      <w:marBottom w:val="0"/>
      <w:divBdr>
        <w:top w:val="none" w:sz="0" w:space="0" w:color="auto"/>
        <w:left w:val="none" w:sz="0" w:space="0" w:color="auto"/>
        <w:bottom w:val="none" w:sz="0" w:space="0" w:color="auto"/>
        <w:right w:val="none" w:sz="0" w:space="0" w:color="auto"/>
      </w:divBdr>
    </w:div>
    <w:div w:id="1785152405">
      <w:bodyDiv w:val="1"/>
      <w:marLeft w:val="0"/>
      <w:marRight w:val="0"/>
      <w:marTop w:val="0"/>
      <w:marBottom w:val="0"/>
      <w:divBdr>
        <w:top w:val="none" w:sz="0" w:space="0" w:color="auto"/>
        <w:left w:val="none" w:sz="0" w:space="0" w:color="auto"/>
        <w:bottom w:val="none" w:sz="0" w:space="0" w:color="auto"/>
        <w:right w:val="none" w:sz="0" w:space="0" w:color="auto"/>
      </w:divBdr>
    </w:div>
    <w:div w:id="1801024325">
      <w:bodyDiv w:val="1"/>
      <w:marLeft w:val="0"/>
      <w:marRight w:val="0"/>
      <w:marTop w:val="0"/>
      <w:marBottom w:val="0"/>
      <w:divBdr>
        <w:top w:val="none" w:sz="0" w:space="0" w:color="auto"/>
        <w:left w:val="none" w:sz="0" w:space="0" w:color="auto"/>
        <w:bottom w:val="none" w:sz="0" w:space="0" w:color="auto"/>
        <w:right w:val="none" w:sz="0" w:space="0" w:color="auto"/>
      </w:divBdr>
    </w:div>
    <w:div w:id="1801192684">
      <w:bodyDiv w:val="1"/>
      <w:marLeft w:val="0"/>
      <w:marRight w:val="0"/>
      <w:marTop w:val="0"/>
      <w:marBottom w:val="0"/>
      <w:divBdr>
        <w:top w:val="none" w:sz="0" w:space="0" w:color="auto"/>
        <w:left w:val="none" w:sz="0" w:space="0" w:color="auto"/>
        <w:bottom w:val="none" w:sz="0" w:space="0" w:color="auto"/>
        <w:right w:val="none" w:sz="0" w:space="0" w:color="auto"/>
      </w:divBdr>
    </w:div>
    <w:div w:id="1839349446">
      <w:bodyDiv w:val="1"/>
      <w:marLeft w:val="0"/>
      <w:marRight w:val="0"/>
      <w:marTop w:val="0"/>
      <w:marBottom w:val="0"/>
      <w:divBdr>
        <w:top w:val="none" w:sz="0" w:space="0" w:color="auto"/>
        <w:left w:val="none" w:sz="0" w:space="0" w:color="auto"/>
        <w:bottom w:val="none" w:sz="0" w:space="0" w:color="auto"/>
        <w:right w:val="none" w:sz="0" w:space="0" w:color="auto"/>
      </w:divBdr>
    </w:div>
    <w:div w:id="1848251240">
      <w:bodyDiv w:val="1"/>
      <w:marLeft w:val="0"/>
      <w:marRight w:val="0"/>
      <w:marTop w:val="0"/>
      <w:marBottom w:val="0"/>
      <w:divBdr>
        <w:top w:val="none" w:sz="0" w:space="0" w:color="auto"/>
        <w:left w:val="none" w:sz="0" w:space="0" w:color="auto"/>
        <w:bottom w:val="none" w:sz="0" w:space="0" w:color="auto"/>
        <w:right w:val="none" w:sz="0" w:space="0" w:color="auto"/>
      </w:divBdr>
    </w:div>
    <w:div w:id="1883982940">
      <w:bodyDiv w:val="1"/>
      <w:marLeft w:val="0"/>
      <w:marRight w:val="0"/>
      <w:marTop w:val="0"/>
      <w:marBottom w:val="0"/>
      <w:divBdr>
        <w:top w:val="none" w:sz="0" w:space="0" w:color="auto"/>
        <w:left w:val="none" w:sz="0" w:space="0" w:color="auto"/>
        <w:bottom w:val="none" w:sz="0" w:space="0" w:color="auto"/>
        <w:right w:val="none" w:sz="0" w:space="0" w:color="auto"/>
      </w:divBdr>
    </w:div>
    <w:div w:id="1890720771">
      <w:bodyDiv w:val="1"/>
      <w:marLeft w:val="0"/>
      <w:marRight w:val="0"/>
      <w:marTop w:val="0"/>
      <w:marBottom w:val="0"/>
      <w:divBdr>
        <w:top w:val="none" w:sz="0" w:space="0" w:color="auto"/>
        <w:left w:val="none" w:sz="0" w:space="0" w:color="auto"/>
        <w:bottom w:val="none" w:sz="0" w:space="0" w:color="auto"/>
        <w:right w:val="none" w:sz="0" w:space="0" w:color="auto"/>
      </w:divBdr>
    </w:div>
    <w:div w:id="1906377115">
      <w:bodyDiv w:val="1"/>
      <w:marLeft w:val="0"/>
      <w:marRight w:val="0"/>
      <w:marTop w:val="0"/>
      <w:marBottom w:val="0"/>
      <w:divBdr>
        <w:top w:val="none" w:sz="0" w:space="0" w:color="auto"/>
        <w:left w:val="none" w:sz="0" w:space="0" w:color="auto"/>
        <w:bottom w:val="none" w:sz="0" w:space="0" w:color="auto"/>
        <w:right w:val="none" w:sz="0" w:space="0" w:color="auto"/>
      </w:divBdr>
    </w:div>
    <w:div w:id="1908763494">
      <w:bodyDiv w:val="1"/>
      <w:marLeft w:val="0"/>
      <w:marRight w:val="0"/>
      <w:marTop w:val="0"/>
      <w:marBottom w:val="0"/>
      <w:divBdr>
        <w:top w:val="none" w:sz="0" w:space="0" w:color="auto"/>
        <w:left w:val="none" w:sz="0" w:space="0" w:color="auto"/>
        <w:bottom w:val="none" w:sz="0" w:space="0" w:color="auto"/>
        <w:right w:val="none" w:sz="0" w:space="0" w:color="auto"/>
      </w:divBdr>
    </w:div>
    <w:div w:id="1928228528">
      <w:bodyDiv w:val="1"/>
      <w:marLeft w:val="0"/>
      <w:marRight w:val="0"/>
      <w:marTop w:val="0"/>
      <w:marBottom w:val="0"/>
      <w:divBdr>
        <w:top w:val="none" w:sz="0" w:space="0" w:color="auto"/>
        <w:left w:val="none" w:sz="0" w:space="0" w:color="auto"/>
        <w:bottom w:val="none" w:sz="0" w:space="0" w:color="auto"/>
        <w:right w:val="none" w:sz="0" w:space="0" w:color="auto"/>
      </w:divBdr>
    </w:div>
    <w:div w:id="1936984921">
      <w:bodyDiv w:val="1"/>
      <w:marLeft w:val="0"/>
      <w:marRight w:val="0"/>
      <w:marTop w:val="0"/>
      <w:marBottom w:val="0"/>
      <w:divBdr>
        <w:top w:val="none" w:sz="0" w:space="0" w:color="auto"/>
        <w:left w:val="none" w:sz="0" w:space="0" w:color="auto"/>
        <w:bottom w:val="none" w:sz="0" w:space="0" w:color="auto"/>
        <w:right w:val="none" w:sz="0" w:space="0" w:color="auto"/>
      </w:divBdr>
    </w:div>
    <w:div w:id="1937404574">
      <w:bodyDiv w:val="1"/>
      <w:marLeft w:val="0"/>
      <w:marRight w:val="0"/>
      <w:marTop w:val="0"/>
      <w:marBottom w:val="0"/>
      <w:divBdr>
        <w:top w:val="none" w:sz="0" w:space="0" w:color="auto"/>
        <w:left w:val="none" w:sz="0" w:space="0" w:color="auto"/>
        <w:bottom w:val="none" w:sz="0" w:space="0" w:color="auto"/>
        <w:right w:val="none" w:sz="0" w:space="0" w:color="auto"/>
      </w:divBdr>
    </w:div>
    <w:div w:id="1938632437">
      <w:bodyDiv w:val="1"/>
      <w:marLeft w:val="0"/>
      <w:marRight w:val="0"/>
      <w:marTop w:val="0"/>
      <w:marBottom w:val="0"/>
      <w:divBdr>
        <w:top w:val="none" w:sz="0" w:space="0" w:color="auto"/>
        <w:left w:val="none" w:sz="0" w:space="0" w:color="auto"/>
        <w:bottom w:val="none" w:sz="0" w:space="0" w:color="auto"/>
        <w:right w:val="none" w:sz="0" w:space="0" w:color="auto"/>
      </w:divBdr>
    </w:div>
    <w:div w:id="1946571565">
      <w:bodyDiv w:val="1"/>
      <w:marLeft w:val="0"/>
      <w:marRight w:val="0"/>
      <w:marTop w:val="0"/>
      <w:marBottom w:val="0"/>
      <w:divBdr>
        <w:top w:val="none" w:sz="0" w:space="0" w:color="auto"/>
        <w:left w:val="none" w:sz="0" w:space="0" w:color="auto"/>
        <w:bottom w:val="none" w:sz="0" w:space="0" w:color="auto"/>
        <w:right w:val="none" w:sz="0" w:space="0" w:color="auto"/>
      </w:divBdr>
    </w:div>
    <w:div w:id="1967540981">
      <w:bodyDiv w:val="1"/>
      <w:marLeft w:val="0"/>
      <w:marRight w:val="0"/>
      <w:marTop w:val="0"/>
      <w:marBottom w:val="0"/>
      <w:divBdr>
        <w:top w:val="none" w:sz="0" w:space="0" w:color="auto"/>
        <w:left w:val="none" w:sz="0" w:space="0" w:color="auto"/>
        <w:bottom w:val="none" w:sz="0" w:space="0" w:color="auto"/>
        <w:right w:val="none" w:sz="0" w:space="0" w:color="auto"/>
      </w:divBdr>
    </w:div>
    <w:div w:id="1972248090">
      <w:bodyDiv w:val="1"/>
      <w:marLeft w:val="0"/>
      <w:marRight w:val="0"/>
      <w:marTop w:val="0"/>
      <w:marBottom w:val="0"/>
      <w:divBdr>
        <w:top w:val="none" w:sz="0" w:space="0" w:color="auto"/>
        <w:left w:val="none" w:sz="0" w:space="0" w:color="auto"/>
        <w:bottom w:val="none" w:sz="0" w:space="0" w:color="auto"/>
        <w:right w:val="none" w:sz="0" w:space="0" w:color="auto"/>
      </w:divBdr>
    </w:div>
    <w:div w:id="1977834565">
      <w:bodyDiv w:val="1"/>
      <w:marLeft w:val="0"/>
      <w:marRight w:val="0"/>
      <w:marTop w:val="0"/>
      <w:marBottom w:val="0"/>
      <w:divBdr>
        <w:top w:val="none" w:sz="0" w:space="0" w:color="auto"/>
        <w:left w:val="none" w:sz="0" w:space="0" w:color="auto"/>
        <w:bottom w:val="none" w:sz="0" w:space="0" w:color="auto"/>
        <w:right w:val="none" w:sz="0" w:space="0" w:color="auto"/>
      </w:divBdr>
    </w:div>
    <w:div w:id="2013948390">
      <w:bodyDiv w:val="1"/>
      <w:marLeft w:val="0"/>
      <w:marRight w:val="0"/>
      <w:marTop w:val="0"/>
      <w:marBottom w:val="0"/>
      <w:divBdr>
        <w:top w:val="none" w:sz="0" w:space="0" w:color="auto"/>
        <w:left w:val="none" w:sz="0" w:space="0" w:color="auto"/>
        <w:bottom w:val="none" w:sz="0" w:space="0" w:color="auto"/>
        <w:right w:val="none" w:sz="0" w:space="0" w:color="auto"/>
      </w:divBdr>
    </w:div>
    <w:div w:id="2033677512">
      <w:bodyDiv w:val="1"/>
      <w:marLeft w:val="0"/>
      <w:marRight w:val="0"/>
      <w:marTop w:val="0"/>
      <w:marBottom w:val="0"/>
      <w:divBdr>
        <w:top w:val="none" w:sz="0" w:space="0" w:color="auto"/>
        <w:left w:val="none" w:sz="0" w:space="0" w:color="auto"/>
        <w:bottom w:val="none" w:sz="0" w:space="0" w:color="auto"/>
        <w:right w:val="none" w:sz="0" w:space="0" w:color="auto"/>
      </w:divBdr>
    </w:div>
    <w:div w:id="2039237339">
      <w:bodyDiv w:val="1"/>
      <w:marLeft w:val="0"/>
      <w:marRight w:val="0"/>
      <w:marTop w:val="0"/>
      <w:marBottom w:val="0"/>
      <w:divBdr>
        <w:top w:val="none" w:sz="0" w:space="0" w:color="auto"/>
        <w:left w:val="none" w:sz="0" w:space="0" w:color="auto"/>
        <w:bottom w:val="none" w:sz="0" w:space="0" w:color="auto"/>
        <w:right w:val="none" w:sz="0" w:space="0" w:color="auto"/>
      </w:divBdr>
    </w:div>
    <w:div w:id="2043357775">
      <w:bodyDiv w:val="1"/>
      <w:marLeft w:val="0"/>
      <w:marRight w:val="0"/>
      <w:marTop w:val="0"/>
      <w:marBottom w:val="0"/>
      <w:divBdr>
        <w:top w:val="none" w:sz="0" w:space="0" w:color="auto"/>
        <w:left w:val="none" w:sz="0" w:space="0" w:color="auto"/>
        <w:bottom w:val="none" w:sz="0" w:space="0" w:color="auto"/>
        <w:right w:val="none" w:sz="0" w:space="0" w:color="auto"/>
      </w:divBdr>
    </w:div>
    <w:div w:id="2044094816">
      <w:bodyDiv w:val="1"/>
      <w:marLeft w:val="0"/>
      <w:marRight w:val="0"/>
      <w:marTop w:val="0"/>
      <w:marBottom w:val="0"/>
      <w:divBdr>
        <w:top w:val="none" w:sz="0" w:space="0" w:color="auto"/>
        <w:left w:val="none" w:sz="0" w:space="0" w:color="auto"/>
        <w:bottom w:val="none" w:sz="0" w:space="0" w:color="auto"/>
        <w:right w:val="none" w:sz="0" w:space="0" w:color="auto"/>
      </w:divBdr>
    </w:div>
    <w:div w:id="2046362950">
      <w:bodyDiv w:val="1"/>
      <w:marLeft w:val="0"/>
      <w:marRight w:val="0"/>
      <w:marTop w:val="0"/>
      <w:marBottom w:val="0"/>
      <w:divBdr>
        <w:top w:val="none" w:sz="0" w:space="0" w:color="auto"/>
        <w:left w:val="none" w:sz="0" w:space="0" w:color="auto"/>
        <w:bottom w:val="none" w:sz="0" w:space="0" w:color="auto"/>
        <w:right w:val="none" w:sz="0" w:space="0" w:color="auto"/>
      </w:divBdr>
    </w:div>
    <w:div w:id="2054504042">
      <w:bodyDiv w:val="1"/>
      <w:marLeft w:val="0"/>
      <w:marRight w:val="0"/>
      <w:marTop w:val="0"/>
      <w:marBottom w:val="0"/>
      <w:divBdr>
        <w:top w:val="none" w:sz="0" w:space="0" w:color="auto"/>
        <w:left w:val="none" w:sz="0" w:space="0" w:color="auto"/>
        <w:bottom w:val="none" w:sz="0" w:space="0" w:color="auto"/>
        <w:right w:val="none" w:sz="0" w:space="0" w:color="auto"/>
      </w:divBdr>
    </w:div>
    <w:div w:id="2057661217">
      <w:bodyDiv w:val="1"/>
      <w:marLeft w:val="0"/>
      <w:marRight w:val="0"/>
      <w:marTop w:val="0"/>
      <w:marBottom w:val="0"/>
      <w:divBdr>
        <w:top w:val="none" w:sz="0" w:space="0" w:color="auto"/>
        <w:left w:val="none" w:sz="0" w:space="0" w:color="auto"/>
        <w:bottom w:val="none" w:sz="0" w:space="0" w:color="auto"/>
        <w:right w:val="none" w:sz="0" w:space="0" w:color="auto"/>
      </w:divBdr>
    </w:div>
    <w:div w:id="2066754194">
      <w:bodyDiv w:val="1"/>
      <w:marLeft w:val="0"/>
      <w:marRight w:val="0"/>
      <w:marTop w:val="0"/>
      <w:marBottom w:val="0"/>
      <w:divBdr>
        <w:top w:val="none" w:sz="0" w:space="0" w:color="auto"/>
        <w:left w:val="none" w:sz="0" w:space="0" w:color="auto"/>
        <w:bottom w:val="none" w:sz="0" w:space="0" w:color="auto"/>
        <w:right w:val="none" w:sz="0" w:space="0" w:color="auto"/>
      </w:divBdr>
    </w:div>
    <w:div w:id="2116898428">
      <w:bodyDiv w:val="1"/>
      <w:marLeft w:val="0"/>
      <w:marRight w:val="0"/>
      <w:marTop w:val="0"/>
      <w:marBottom w:val="0"/>
      <w:divBdr>
        <w:top w:val="none" w:sz="0" w:space="0" w:color="auto"/>
        <w:left w:val="none" w:sz="0" w:space="0" w:color="auto"/>
        <w:bottom w:val="none" w:sz="0" w:space="0" w:color="auto"/>
        <w:right w:val="none" w:sz="0" w:space="0" w:color="auto"/>
      </w:divBdr>
    </w:div>
    <w:div w:id="2124300377">
      <w:bodyDiv w:val="1"/>
      <w:marLeft w:val="0"/>
      <w:marRight w:val="0"/>
      <w:marTop w:val="0"/>
      <w:marBottom w:val="0"/>
      <w:divBdr>
        <w:top w:val="none" w:sz="0" w:space="0" w:color="auto"/>
        <w:left w:val="none" w:sz="0" w:space="0" w:color="auto"/>
        <w:bottom w:val="none" w:sz="0" w:space="0" w:color="auto"/>
        <w:right w:val="none" w:sz="0" w:space="0" w:color="auto"/>
      </w:divBdr>
    </w:div>
    <w:div w:id="2124953681">
      <w:bodyDiv w:val="1"/>
      <w:marLeft w:val="0"/>
      <w:marRight w:val="0"/>
      <w:marTop w:val="0"/>
      <w:marBottom w:val="0"/>
      <w:divBdr>
        <w:top w:val="none" w:sz="0" w:space="0" w:color="auto"/>
        <w:left w:val="none" w:sz="0" w:space="0" w:color="auto"/>
        <w:bottom w:val="none" w:sz="0" w:space="0" w:color="auto"/>
        <w:right w:val="none" w:sz="0" w:space="0" w:color="auto"/>
      </w:divBdr>
    </w:div>
    <w:div w:id="2125886040">
      <w:bodyDiv w:val="1"/>
      <w:marLeft w:val="0"/>
      <w:marRight w:val="0"/>
      <w:marTop w:val="0"/>
      <w:marBottom w:val="0"/>
      <w:divBdr>
        <w:top w:val="none" w:sz="0" w:space="0" w:color="auto"/>
        <w:left w:val="none" w:sz="0" w:space="0" w:color="auto"/>
        <w:bottom w:val="none" w:sz="0" w:space="0" w:color="auto"/>
        <w:right w:val="none" w:sz="0" w:space="0" w:color="auto"/>
      </w:divBdr>
    </w:div>
    <w:div w:id="2125999786">
      <w:bodyDiv w:val="1"/>
      <w:marLeft w:val="0"/>
      <w:marRight w:val="0"/>
      <w:marTop w:val="0"/>
      <w:marBottom w:val="0"/>
      <w:divBdr>
        <w:top w:val="none" w:sz="0" w:space="0" w:color="auto"/>
        <w:left w:val="none" w:sz="0" w:space="0" w:color="auto"/>
        <w:bottom w:val="none" w:sz="0" w:space="0" w:color="auto"/>
        <w:right w:val="none" w:sz="0" w:space="0" w:color="auto"/>
      </w:divBdr>
    </w:div>
    <w:div w:id="2133471811">
      <w:bodyDiv w:val="1"/>
      <w:marLeft w:val="0"/>
      <w:marRight w:val="0"/>
      <w:marTop w:val="0"/>
      <w:marBottom w:val="0"/>
      <w:divBdr>
        <w:top w:val="none" w:sz="0" w:space="0" w:color="auto"/>
        <w:left w:val="none" w:sz="0" w:space="0" w:color="auto"/>
        <w:bottom w:val="none" w:sz="0" w:space="0" w:color="auto"/>
        <w:right w:val="none" w:sz="0" w:space="0" w:color="auto"/>
      </w:divBdr>
    </w:div>
    <w:div w:id="213427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 TargetMode="External"/><Relationship Id="rId13" Type="http://schemas.openxmlformats.org/officeDocument/2006/relationships/hyperlink" Target="https://www.legifrance.gouv.fr/download/pdf?id=avc8k0i0xsKoMfpM00rKgirFi06kv4uNmW1FL3_nvcg=" TargetMode="External"/><Relationship Id="rId18" Type="http://schemas.openxmlformats.org/officeDocument/2006/relationships/hyperlink" Target="https://www.legifrance.gouv.fr/download/pdf?id=iKPTRWvhf7-gxPzOh-cWR16VIs0OSt5HGx1KyTrJAYE=" TargetMode="External"/><Relationship Id="rId26" Type="http://schemas.openxmlformats.org/officeDocument/2006/relationships/hyperlink" Target="https://www.legifrance.gouv.fr/download/pdf?id=cBCcsxVOGvWB147SjtyTxUY0JMRNZGyVDKF_N-r7shY=" TargetMode="External"/><Relationship Id="rId39" Type="http://schemas.openxmlformats.org/officeDocument/2006/relationships/hyperlink" Target="https://www.legifrance.gouv.fr/download/pdf?id=BgqW2EOkTmgH7p5w9TR3_KE7zNsiFZL-4wqNyqoY-CA=" TargetMode="External"/><Relationship Id="rId3" Type="http://schemas.openxmlformats.org/officeDocument/2006/relationships/styles" Target="styles.xml"/><Relationship Id="rId21" Type="http://schemas.openxmlformats.org/officeDocument/2006/relationships/hyperlink" Target="https://www.legifrance.gouv.fr/download/pdf?id=ITqdni0BkEk4CW31NQZxv9eR4hHX_hrUBkf1SPvLwnI=" TargetMode="External"/><Relationship Id="rId34" Type="http://schemas.openxmlformats.org/officeDocument/2006/relationships/hyperlink" Target="https://www.legifrance.gouv.fr/download/pdf?id=BgqW2EOkTmgH7p5w9TR3_Gp3M35OxUwvbImODEBXLcw="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france.gouv.fr/download/pdf?id=BgqW2EOkTmgH7p5w9TR3_ArcKwmzQe3kqKoHA19Z1V4=" TargetMode="External"/><Relationship Id="rId17" Type="http://schemas.openxmlformats.org/officeDocument/2006/relationships/hyperlink" Target="https://www.legifrance.gouv.fr/download/pdf?id=BKku77gQQHJhu-UTxLZIT2jXbwEqgi4p1G3fTjlpsFU=" TargetMode="External"/><Relationship Id="rId25" Type="http://schemas.openxmlformats.org/officeDocument/2006/relationships/hyperlink" Target="https://www.legifrance.gouv.fr/download/pdf?id=dq_hE_810gmWNjinCRcl4k2HI3eosjR2WigIXHagCgA=" TargetMode="External"/><Relationship Id="rId33" Type="http://schemas.openxmlformats.org/officeDocument/2006/relationships/hyperlink" Target="https://www.legifrance.gouv.fr/download/pdf?id=BgqW2EOkTmgH7p5w9TR3_Ia2kLzkBjj04JH3kFRD0Uk=" TargetMode="External"/><Relationship Id="rId38" Type="http://schemas.openxmlformats.org/officeDocument/2006/relationships/hyperlink" Target="https://www.legifrance.gouv.fr/download/pdf?id=isr0azgWEe4wSbu_Z-hm_5mZxgNwLlgVqs1D12Pbd_0=" TargetMode="External"/><Relationship Id="rId2" Type="http://schemas.openxmlformats.org/officeDocument/2006/relationships/numbering" Target="numbering.xml"/><Relationship Id="rId16" Type="http://schemas.openxmlformats.org/officeDocument/2006/relationships/hyperlink" Target="https://www.legifrance.gouv.fr/download/pdf?id=4_qaDtal3BRrGs73n5U-oBMDPYFz4ZIey5WmXlXIHPY=" TargetMode="External"/><Relationship Id="rId20" Type="http://schemas.openxmlformats.org/officeDocument/2006/relationships/hyperlink" Target="https://www.legifrance.gouv.fr/download/pdf?id=iKPTRWvhf7-gxPzOh-cWRyBfN3SpwEW5zCoQtG6q22E=" TargetMode="External"/><Relationship Id="rId29" Type="http://schemas.openxmlformats.org/officeDocument/2006/relationships/hyperlink" Target="https://www.legifrance.gouv.fr/download/pdf?id=avc8k0i0xsKoMfpM00rKgl6VIs0OSt5HGx1KyTrJAY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download/pdf?id=BgqW2EOkTmgH7p5w9TR3_D_3t41HGAG1W4anJQGJd40=" TargetMode="External"/><Relationship Id="rId24" Type="http://schemas.openxmlformats.org/officeDocument/2006/relationships/hyperlink" Target="https://www.legifrance.gouv.fr/download/pdf?id=uasf8f42y6zuNO0z0E5pITKp7wbzsXbG2vwLqOo9BMk=" TargetMode="External"/><Relationship Id="rId32" Type="http://schemas.openxmlformats.org/officeDocument/2006/relationships/hyperlink" Target="https://www.legifrance.gouv.fr/download/pdf?id=BgqW2EOkTmgH7p5w9TR3_Lj1eH6w-xJoB6-2bmLS9gg=" TargetMode="External"/><Relationship Id="rId37" Type="http://schemas.openxmlformats.org/officeDocument/2006/relationships/hyperlink" Target="https://www.legifrance.gouv.fr/download/pdf?id=BgqW2EOkTmgH7p5w9TR3_EUGTnVzPJi9h76PyrQWBXY="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egifrance.gouv.fr/download/pdf?id=4_qaDtal3BRrGs73n5U-oFo7HqWR6wDUo19VGpmA_28=" TargetMode="External"/><Relationship Id="rId23" Type="http://schemas.openxmlformats.org/officeDocument/2006/relationships/hyperlink" Target="https://www.legifrance.gouv.fr/download/pdf?id=GlZKFvQY2gAk98Pv9XPdXO-nam6aCtsgM2LdqywZyGE=" TargetMode="External"/><Relationship Id="rId28" Type="http://schemas.openxmlformats.org/officeDocument/2006/relationships/hyperlink" Target="https://www.legifrance.gouv.fr/download/pdf?id=cBCcsxVOGvWB147SjtyTxayH98kSXV9mWWuYQB14Oco=" TargetMode="External"/><Relationship Id="rId36" Type="http://schemas.openxmlformats.org/officeDocument/2006/relationships/hyperlink" Target="https://www.legifrance.gouv.fr/download/pdf?id=BgqW2EOkTmgH7p5w9TR3_FZQxHw5YMz-RNeqeEq8Hqs=" TargetMode="External"/><Relationship Id="rId10" Type="http://schemas.openxmlformats.org/officeDocument/2006/relationships/hyperlink" Target="https://www.legifrance.gouv.fr/download/pdf?id=BgqW2EOkTmgH7p5w9TR3_MmC-n5PaIqGMf2--_pEoE4=" TargetMode="External"/><Relationship Id="rId19" Type="http://schemas.openxmlformats.org/officeDocument/2006/relationships/hyperlink" Target="https://www.legifrance.gouv.fr/download/pdf?id=8eFp_qXwybVJhqMtlpf5nU_2LxmVqCrhJDv8Cb10R4c=" TargetMode="External"/><Relationship Id="rId31" Type="http://schemas.openxmlformats.org/officeDocument/2006/relationships/hyperlink" Target="https://www.legifrance.gouv.fr/download/pdf?id=zEZA5vM7ojmRusTUbF86Akz_YKvnMt_Q79svGv-m-Rk=" TargetMode="External"/><Relationship Id="rId4" Type="http://schemas.openxmlformats.org/officeDocument/2006/relationships/settings" Target="settings.xml"/><Relationship Id="rId9" Type="http://schemas.openxmlformats.org/officeDocument/2006/relationships/hyperlink" Target="https://www.legifrance.gouv.fr/download/pdf?id=dq_hE_810gmWNjinCRcl4tTHx2jwEjlJhjdepQdGsns=" TargetMode="External"/><Relationship Id="rId14" Type="http://schemas.openxmlformats.org/officeDocument/2006/relationships/hyperlink" Target="https://www.legifrance.gouv.fr/download/pdf?id=avc8k0i0xsKoMfpM00rKgnm5ifQeOmNVXdsTzHrVmHE=" TargetMode="External"/><Relationship Id="rId22" Type="http://schemas.openxmlformats.org/officeDocument/2006/relationships/hyperlink" Target="https://www.legifrance.gouv.fr/download/pdf?id=cBCcsxVOGvWB147SjtyTxXxyq2uN_TKeBRRXw8U00MM=" TargetMode="External"/><Relationship Id="rId27" Type="http://schemas.openxmlformats.org/officeDocument/2006/relationships/hyperlink" Target="https://www.legifrance.gouv.fr/download/pdf?id=4_qaDtal3BRrGs73n5U-oP0lafqexhXyTt8n9o3gBWE=" TargetMode="External"/><Relationship Id="rId30" Type="http://schemas.openxmlformats.org/officeDocument/2006/relationships/hyperlink" Target="https://www.legifrance.gouv.fr/download/pdf?id=BKku77gQQHJhu-UTxLZIT10x2cXqrdWF9oEa6JCE9ok=" TargetMode="External"/><Relationship Id="rId35" Type="http://schemas.openxmlformats.org/officeDocument/2006/relationships/hyperlink" Target="https://www.legifrance.gouv.fr/download/pdf?id=BgqW2EOkTmgH7p5w9TR3_JVcNxJNGE5wJPoKzs9mur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CE009-B5E4-496E-8A09-80F683194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1066</TotalTime>
  <Pages>9</Pages>
  <Words>3608</Words>
  <Characters>19846</Characters>
  <Application>Microsoft Office Word</Application>
  <DocSecurity>0</DocSecurity>
  <Lines>165</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Jean-Marc Piatek</dc:creator>
  <cp:keywords/>
  <dc:description/>
  <cp:lastModifiedBy>Jean-Marc Piatek</cp:lastModifiedBy>
  <cp:revision>340</cp:revision>
  <dcterms:created xsi:type="dcterms:W3CDTF">2025-12-12T09:55:00Z</dcterms:created>
  <dcterms:modified xsi:type="dcterms:W3CDTF">2026-08-03T13:03:00Z</dcterms:modified>
</cp:coreProperties>
</file>