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w:t>
      </w:r>
      <w:r w:rsidR="001A0211">
        <w:rPr>
          <w:b/>
          <w:i/>
          <w:sz w:val="28"/>
          <w:szCs w:val="28"/>
        </w:rPr>
        <w:t>mai</w:t>
      </w:r>
      <w:r>
        <w:rPr>
          <w:b/>
          <w:i/>
          <w:sz w:val="28"/>
          <w:szCs w:val="28"/>
        </w:rPr>
        <w:t xml:space="preserve"> 202</w:t>
      </w:r>
      <w:r w:rsidR="00FA6690">
        <w:rPr>
          <w:b/>
          <w:i/>
          <w:sz w:val="28"/>
          <w:szCs w:val="28"/>
        </w:rPr>
        <w:t>6</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496059"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31994017" w:history="1">
            <w:r w:rsidR="00496059" w:rsidRPr="00696742">
              <w:rPr>
                <w:rStyle w:val="Lienhypertexte"/>
                <w:noProof/>
              </w:rPr>
              <w:t>Ademe</w:t>
            </w:r>
            <w:r w:rsidR="00496059">
              <w:rPr>
                <w:noProof/>
                <w:webHidden/>
              </w:rPr>
              <w:tab/>
            </w:r>
            <w:r w:rsidR="00496059">
              <w:rPr>
                <w:noProof/>
                <w:webHidden/>
              </w:rPr>
              <w:fldChar w:fldCharType="begin"/>
            </w:r>
            <w:r w:rsidR="00496059">
              <w:rPr>
                <w:noProof/>
                <w:webHidden/>
              </w:rPr>
              <w:instrText xml:space="preserve"> PAGEREF _Toc231994017 \h </w:instrText>
            </w:r>
            <w:r w:rsidR="00496059">
              <w:rPr>
                <w:noProof/>
                <w:webHidden/>
              </w:rPr>
            </w:r>
            <w:r w:rsidR="00496059">
              <w:rPr>
                <w:noProof/>
                <w:webHidden/>
              </w:rPr>
              <w:fldChar w:fldCharType="separate"/>
            </w:r>
            <w:r w:rsidR="00496059">
              <w:rPr>
                <w:noProof/>
                <w:webHidden/>
              </w:rPr>
              <w:t>2</w:t>
            </w:r>
            <w:r w:rsidR="00496059">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18" w:history="1">
            <w:r w:rsidRPr="00696742">
              <w:rPr>
                <w:rStyle w:val="Lienhypertexte"/>
                <w:noProof/>
              </w:rPr>
              <w:t>Agrément d’équipements</w:t>
            </w:r>
            <w:r>
              <w:rPr>
                <w:noProof/>
                <w:webHidden/>
              </w:rPr>
              <w:tab/>
            </w:r>
            <w:r>
              <w:rPr>
                <w:noProof/>
                <w:webHidden/>
              </w:rPr>
              <w:fldChar w:fldCharType="begin"/>
            </w:r>
            <w:r>
              <w:rPr>
                <w:noProof/>
                <w:webHidden/>
              </w:rPr>
              <w:instrText xml:space="preserve"> PAGEREF _Toc231994018 \h </w:instrText>
            </w:r>
            <w:r>
              <w:rPr>
                <w:noProof/>
                <w:webHidden/>
              </w:rPr>
            </w:r>
            <w:r>
              <w:rPr>
                <w:noProof/>
                <w:webHidden/>
              </w:rPr>
              <w:fldChar w:fldCharType="separate"/>
            </w:r>
            <w:r>
              <w:rPr>
                <w:noProof/>
                <w:webHidden/>
              </w:rPr>
              <w:t>2</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19" w:history="1">
            <w:r w:rsidRPr="00696742">
              <w:rPr>
                <w:rStyle w:val="Lienhypertexte"/>
                <w:noProof/>
              </w:rPr>
              <w:t>Aides</w:t>
            </w:r>
            <w:r>
              <w:rPr>
                <w:noProof/>
                <w:webHidden/>
              </w:rPr>
              <w:tab/>
            </w:r>
            <w:r>
              <w:rPr>
                <w:noProof/>
                <w:webHidden/>
              </w:rPr>
              <w:fldChar w:fldCharType="begin"/>
            </w:r>
            <w:r>
              <w:rPr>
                <w:noProof/>
                <w:webHidden/>
              </w:rPr>
              <w:instrText xml:space="preserve"> PAGEREF _Toc231994019 \h </w:instrText>
            </w:r>
            <w:r>
              <w:rPr>
                <w:noProof/>
                <w:webHidden/>
              </w:rPr>
            </w:r>
            <w:r>
              <w:rPr>
                <w:noProof/>
                <w:webHidden/>
              </w:rPr>
              <w:fldChar w:fldCharType="separate"/>
            </w:r>
            <w:r>
              <w:rPr>
                <w:noProof/>
                <w:webHidden/>
              </w:rPr>
              <w:t>2</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0" w:history="1">
            <w:r w:rsidRPr="00696742">
              <w:rPr>
                <w:rStyle w:val="Lienhypertexte"/>
                <w:noProof/>
              </w:rPr>
              <w:t>Appel à projets</w:t>
            </w:r>
            <w:r>
              <w:rPr>
                <w:noProof/>
                <w:webHidden/>
              </w:rPr>
              <w:tab/>
            </w:r>
            <w:r>
              <w:rPr>
                <w:noProof/>
                <w:webHidden/>
              </w:rPr>
              <w:fldChar w:fldCharType="begin"/>
            </w:r>
            <w:r>
              <w:rPr>
                <w:noProof/>
                <w:webHidden/>
              </w:rPr>
              <w:instrText xml:space="preserve"> PAGEREF _Toc231994020 \h </w:instrText>
            </w:r>
            <w:r>
              <w:rPr>
                <w:noProof/>
                <w:webHidden/>
              </w:rPr>
            </w:r>
            <w:r>
              <w:rPr>
                <w:noProof/>
                <w:webHidden/>
              </w:rPr>
              <w:fldChar w:fldCharType="separate"/>
            </w:r>
            <w:r>
              <w:rPr>
                <w:noProof/>
                <w:webHidden/>
              </w:rPr>
              <w:t>4</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1" w:history="1">
            <w:r w:rsidRPr="00696742">
              <w:rPr>
                <w:rStyle w:val="Lienhypertexte"/>
                <w:noProof/>
              </w:rPr>
              <w:t>Appel d’offres - Grands Projets Industriels</w:t>
            </w:r>
            <w:r>
              <w:rPr>
                <w:noProof/>
                <w:webHidden/>
              </w:rPr>
              <w:tab/>
            </w:r>
            <w:r>
              <w:rPr>
                <w:noProof/>
                <w:webHidden/>
              </w:rPr>
              <w:fldChar w:fldCharType="begin"/>
            </w:r>
            <w:r>
              <w:rPr>
                <w:noProof/>
                <w:webHidden/>
              </w:rPr>
              <w:instrText xml:space="preserve"> PAGEREF _Toc231994021 \h </w:instrText>
            </w:r>
            <w:r>
              <w:rPr>
                <w:noProof/>
                <w:webHidden/>
              </w:rPr>
            </w:r>
            <w:r>
              <w:rPr>
                <w:noProof/>
                <w:webHidden/>
              </w:rPr>
              <w:fldChar w:fldCharType="separate"/>
            </w:r>
            <w:r>
              <w:rPr>
                <w:noProof/>
                <w:webHidden/>
              </w:rPr>
              <w:t>4</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2" w:history="1">
            <w:r w:rsidRPr="00696742">
              <w:rPr>
                <w:rStyle w:val="Lienhypertexte"/>
                <w:noProof/>
              </w:rPr>
              <w:t>Biogaz</w:t>
            </w:r>
            <w:r>
              <w:rPr>
                <w:noProof/>
                <w:webHidden/>
              </w:rPr>
              <w:tab/>
            </w:r>
            <w:r>
              <w:rPr>
                <w:noProof/>
                <w:webHidden/>
              </w:rPr>
              <w:fldChar w:fldCharType="begin"/>
            </w:r>
            <w:r>
              <w:rPr>
                <w:noProof/>
                <w:webHidden/>
              </w:rPr>
              <w:instrText xml:space="preserve"> PAGEREF _Toc231994022 \h </w:instrText>
            </w:r>
            <w:r>
              <w:rPr>
                <w:noProof/>
                <w:webHidden/>
              </w:rPr>
            </w:r>
            <w:r>
              <w:rPr>
                <w:noProof/>
                <w:webHidden/>
              </w:rPr>
              <w:fldChar w:fldCharType="separate"/>
            </w:r>
            <w:r>
              <w:rPr>
                <w:noProof/>
                <w:webHidden/>
              </w:rPr>
              <w:t>5</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3" w:history="1">
            <w:r w:rsidRPr="00696742">
              <w:rPr>
                <w:rStyle w:val="Lienhypertexte"/>
                <w:noProof/>
              </w:rPr>
              <w:t>Carburants</w:t>
            </w:r>
            <w:r>
              <w:rPr>
                <w:noProof/>
                <w:webHidden/>
              </w:rPr>
              <w:tab/>
            </w:r>
            <w:r>
              <w:rPr>
                <w:noProof/>
                <w:webHidden/>
              </w:rPr>
              <w:fldChar w:fldCharType="begin"/>
            </w:r>
            <w:r>
              <w:rPr>
                <w:noProof/>
                <w:webHidden/>
              </w:rPr>
              <w:instrText xml:space="preserve"> PAGEREF _Toc231994023 \h </w:instrText>
            </w:r>
            <w:r>
              <w:rPr>
                <w:noProof/>
                <w:webHidden/>
              </w:rPr>
            </w:r>
            <w:r>
              <w:rPr>
                <w:noProof/>
                <w:webHidden/>
              </w:rPr>
              <w:fldChar w:fldCharType="separate"/>
            </w:r>
            <w:r>
              <w:rPr>
                <w:noProof/>
                <w:webHidden/>
              </w:rPr>
              <w:t>5</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4" w:history="1">
            <w:r w:rsidRPr="00696742">
              <w:rPr>
                <w:rStyle w:val="Lienhypertexte"/>
                <w:noProof/>
              </w:rPr>
              <w:t>Certification professionnelle</w:t>
            </w:r>
            <w:r>
              <w:rPr>
                <w:noProof/>
                <w:webHidden/>
              </w:rPr>
              <w:tab/>
            </w:r>
            <w:r>
              <w:rPr>
                <w:noProof/>
                <w:webHidden/>
              </w:rPr>
              <w:fldChar w:fldCharType="begin"/>
            </w:r>
            <w:r>
              <w:rPr>
                <w:noProof/>
                <w:webHidden/>
              </w:rPr>
              <w:instrText xml:space="preserve"> PAGEREF _Toc231994024 \h </w:instrText>
            </w:r>
            <w:r>
              <w:rPr>
                <w:noProof/>
                <w:webHidden/>
              </w:rPr>
            </w:r>
            <w:r>
              <w:rPr>
                <w:noProof/>
                <w:webHidden/>
              </w:rPr>
              <w:fldChar w:fldCharType="separate"/>
            </w:r>
            <w:r>
              <w:rPr>
                <w:noProof/>
                <w:webHidden/>
              </w:rPr>
              <w:t>5</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5" w:history="1">
            <w:r w:rsidRPr="00696742">
              <w:rPr>
                <w:rStyle w:val="Lienhypertexte"/>
                <w:noProof/>
              </w:rPr>
              <w:t>Certificats d’économies d’énergie</w:t>
            </w:r>
            <w:r>
              <w:rPr>
                <w:noProof/>
                <w:webHidden/>
              </w:rPr>
              <w:tab/>
            </w:r>
            <w:r>
              <w:rPr>
                <w:noProof/>
                <w:webHidden/>
              </w:rPr>
              <w:fldChar w:fldCharType="begin"/>
            </w:r>
            <w:r>
              <w:rPr>
                <w:noProof/>
                <w:webHidden/>
              </w:rPr>
              <w:instrText xml:space="preserve"> PAGEREF _Toc231994025 \h </w:instrText>
            </w:r>
            <w:r>
              <w:rPr>
                <w:noProof/>
                <w:webHidden/>
              </w:rPr>
            </w:r>
            <w:r>
              <w:rPr>
                <w:noProof/>
                <w:webHidden/>
              </w:rPr>
              <w:fldChar w:fldCharType="separate"/>
            </w:r>
            <w:r>
              <w:rPr>
                <w:noProof/>
                <w:webHidden/>
              </w:rPr>
              <w:t>5</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6" w:history="1">
            <w:r w:rsidRPr="00696742">
              <w:rPr>
                <w:rStyle w:val="Lienhypertexte"/>
                <w:noProof/>
              </w:rPr>
              <w:t>Code de l’environnement</w:t>
            </w:r>
            <w:r>
              <w:rPr>
                <w:noProof/>
                <w:webHidden/>
              </w:rPr>
              <w:tab/>
            </w:r>
            <w:r>
              <w:rPr>
                <w:noProof/>
                <w:webHidden/>
              </w:rPr>
              <w:fldChar w:fldCharType="begin"/>
            </w:r>
            <w:r>
              <w:rPr>
                <w:noProof/>
                <w:webHidden/>
              </w:rPr>
              <w:instrText xml:space="preserve"> PAGEREF _Toc231994026 \h </w:instrText>
            </w:r>
            <w:r>
              <w:rPr>
                <w:noProof/>
                <w:webHidden/>
              </w:rPr>
            </w:r>
            <w:r>
              <w:rPr>
                <w:noProof/>
                <w:webHidden/>
              </w:rPr>
              <w:fldChar w:fldCharType="separate"/>
            </w:r>
            <w:r>
              <w:rPr>
                <w:noProof/>
                <w:webHidden/>
              </w:rPr>
              <w:t>7</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7" w:history="1">
            <w:r w:rsidRPr="00696742">
              <w:rPr>
                <w:rStyle w:val="Lienhypertexte"/>
                <w:noProof/>
              </w:rPr>
              <w:t>Performance énergétique des bâtiments</w:t>
            </w:r>
            <w:r>
              <w:rPr>
                <w:noProof/>
                <w:webHidden/>
              </w:rPr>
              <w:tab/>
            </w:r>
            <w:r>
              <w:rPr>
                <w:noProof/>
                <w:webHidden/>
              </w:rPr>
              <w:fldChar w:fldCharType="begin"/>
            </w:r>
            <w:r>
              <w:rPr>
                <w:noProof/>
                <w:webHidden/>
              </w:rPr>
              <w:instrText xml:space="preserve"> PAGEREF _Toc231994027 \h </w:instrText>
            </w:r>
            <w:r>
              <w:rPr>
                <w:noProof/>
                <w:webHidden/>
              </w:rPr>
            </w:r>
            <w:r>
              <w:rPr>
                <w:noProof/>
                <w:webHidden/>
              </w:rPr>
              <w:fldChar w:fldCharType="separate"/>
            </w:r>
            <w:r>
              <w:rPr>
                <w:noProof/>
                <w:webHidden/>
              </w:rPr>
              <w:t>7</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8" w:history="1">
            <w:r w:rsidRPr="00696742">
              <w:rPr>
                <w:rStyle w:val="Lienhypertexte"/>
                <w:noProof/>
              </w:rPr>
              <w:t>Projet de décarbonation de l’industrie</w:t>
            </w:r>
            <w:r>
              <w:rPr>
                <w:noProof/>
                <w:webHidden/>
              </w:rPr>
              <w:tab/>
            </w:r>
            <w:r>
              <w:rPr>
                <w:noProof/>
                <w:webHidden/>
              </w:rPr>
              <w:fldChar w:fldCharType="begin"/>
            </w:r>
            <w:r>
              <w:rPr>
                <w:noProof/>
                <w:webHidden/>
              </w:rPr>
              <w:instrText xml:space="preserve"> PAGEREF _Toc231994028 \h </w:instrText>
            </w:r>
            <w:r>
              <w:rPr>
                <w:noProof/>
                <w:webHidden/>
              </w:rPr>
            </w:r>
            <w:r>
              <w:rPr>
                <w:noProof/>
                <w:webHidden/>
              </w:rPr>
              <w:fldChar w:fldCharType="separate"/>
            </w:r>
            <w:r>
              <w:rPr>
                <w:noProof/>
                <w:webHidden/>
              </w:rPr>
              <w:t>7</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29" w:history="1">
            <w:r w:rsidRPr="00696742">
              <w:rPr>
                <w:rStyle w:val="Lienhypertexte"/>
                <w:noProof/>
              </w:rPr>
              <w:t>Réseaux d’électricité</w:t>
            </w:r>
            <w:r>
              <w:rPr>
                <w:noProof/>
                <w:webHidden/>
              </w:rPr>
              <w:tab/>
            </w:r>
            <w:r>
              <w:rPr>
                <w:noProof/>
                <w:webHidden/>
              </w:rPr>
              <w:fldChar w:fldCharType="begin"/>
            </w:r>
            <w:r>
              <w:rPr>
                <w:noProof/>
                <w:webHidden/>
              </w:rPr>
              <w:instrText xml:space="preserve"> PAGEREF _Toc231994029 \h </w:instrText>
            </w:r>
            <w:r>
              <w:rPr>
                <w:noProof/>
                <w:webHidden/>
              </w:rPr>
            </w:r>
            <w:r>
              <w:rPr>
                <w:noProof/>
                <w:webHidden/>
              </w:rPr>
              <w:fldChar w:fldCharType="separate"/>
            </w:r>
            <w:r>
              <w:rPr>
                <w:noProof/>
                <w:webHidden/>
              </w:rPr>
              <w:t>8</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30" w:history="1">
            <w:r w:rsidRPr="00696742">
              <w:rPr>
                <w:rStyle w:val="Lienhypertexte"/>
                <w:noProof/>
              </w:rPr>
              <w:t>Small Modular Reactor</w:t>
            </w:r>
            <w:r>
              <w:rPr>
                <w:noProof/>
                <w:webHidden/>
              </w:rPr>
              <w:tab/>
            </w:r>
            <w:r>
              <w:rPr>
                <w:noProof/>
                <w:webHidden/>
              </w:rPr>
              <w:fldChar w:fldCharType="begin"/>
            </w:r>
            <w:r>
              <w:rPr>
                <w:noProof/>
                <w:webHidden/>
              </w:rPr>
              <w:instrText xml:space="preserve"> PAGEREF _Toc231994030 \h </w:instrText>
            </w:r>
            <w:r>
              <w:rPr>
                <w:noProof/>
                <w:webHidden/>
              </w:rPr>
            </w:r>
            <w:r>
              <w:rPr>
                <w:noProof/>
                <w:webHidden/>
              </w:rPr>
              <w:fldChar w:fldCharType="separate"/>
            </w:r>
            <w:r>
              <w:rPr>
                <w:noProof/>
                <w:webHidden/>
              </w:rPr>
              <w:t>8</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31" w:history="1">
            <w:r w:rsidRPr="00696742">
              <w:rPr>
                <w:rStyle w:val="Lienhypertexte"/>
                <w:noProof/>
              </w:rPr>
              <w:t>Tarifs réglementés de vente d’électricité</w:t>
            </w:r>
            <w:r>
              <w:rPr>
                <w:noProof/>
                <w:webHidden/>
              </w:rPr>
              <w:tab/>
            </w:r>
            <w:r>
              <w:rPr>
                <w:noProof/>
                <w:webHidden/>
              </w:rPr>
              <w:fldChar w:fldCharType="begin"/>
            </w:r>
            <w:r>
              <w:rPr>
                <w:noProof/>
                <w:webHidden/>
              </w:rPr>
              <w:instrText xml:space="preserve"> PAGEREF _Toc231994031 \h </w:instrText>
            </w:r>
            <w:r>
              <w:rPr>
                <w:noProof/>
                <w:webHidden/>
              </w:rPr>
            </w:r>
            <w:r>
              <w:rPr>
                <w:noProof/>
                <w:webHidden/>
              </w:rPr>
              <w:fldChar w:fldCharType="separate"/>
            </w:r>
            <w:r>
              <w:rPr>
                <w:noProof/>
                <w:webHidden/>
              </w:rPr>
              <w:t>9</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32" w:history="1">
            <w:r w:rsidRPr="00696742">
              <w:rPr>
                <w:rStyle w:val="Lienhypertexte"/>
                <w:noProof/>
              </w:rPr>
              <w:t>Transport</w:t>
            </w:r>
            <w:r>
              <w:rPr>
                <w:noProof/>
                <w:webHidden/>
              </w:rPr>
              <w:tab/>
            </w:r>
            <w:r>
              <w:rPr>
                <w:noProof/>
                <w:webHidden/>
              </w:rPr>
              <w:fldChar w:fldCharType="begin"/>
            </w:r>
            <w:r>
              <w:rPr>
                <w:noProof/>
                <w:webHidden/>
              </w:rPr>
              <w:instrText xml:space="preserve"> PAGEREF _Toc231994032 \h </w:instrText>
            </w:r>
            <w:r>
              <w:rPr>
                <w:noProof/>
                <w:webHidden/>
              </w:rPr>
            </w:r>
            <w:r>
              <w:rPr>
                <w:noProof/>
                <w:webHidden/>
              </w:rPr>
              <w:fldChar w:fldCharType="separate"/>
            </w:r>
            <w:r>
              <w:rPr>
                <w:noProof/>
                <w:webHidden/>
              </w:rPr>
              <w:t>9</w:t>
            </w:r>
            <w:r>
              <w:rPr>
                <w:noProof/>
                <w:webHidden/>
              </w:rPr>
              <w:fldChar w:fldCharType="end"/>
            </w:r>
          </w:hyperlink>
        </w:p>
        <w:p w:rsidR="00496059" w:rsidRDefault="00496059">
          <w:pPr>
            <w:pStyle w:val="TM1"/>
            <w:tabs>
              <w:tab w:val="right" w:leader="dot" w:pos="9062"/>
            </w:tabs>
            <w:rPr>
              <w:rFonts w:eastAsiaTheme="minorEastAsia"/>
              <w:noProof/>
              <w:lang w:eastAsia="fr-FR"/>
            </w:rPr>
          </w:pPr>
          <w:hyperlink w:anchor="_Toc231994033" w:history="1">
            <w:r w:rsidRPr="00696742">
              <w:rPr>
                <w:rStyle w:val="Lienhypertexte"/>
                <w:noProof/>
              </w:rPr>
              <w:t>Zones non interconnectées</w:t>
            </w:r>
            <w:r>
              <w:rPr>
                <w:noProof/>
                <w:webHidden/>
              </w:rPr>
              <w:tab/>
            </w:r>
            <w:r>
              <w:rPr>
                <w:noProof/>
                <w:webHidden/>
              </w:rPr>
              <w:fldChar w:fldCharType="begin"/>
            </w:r>
            <w:r>
              <w:rPr>
                <w:noProof/>
                <w:webHidden/>
              </w:rPr>
              <w:instrText xml:space="preserve"> PAGEREF _Toc231994033 \h </w:instrText>
            </w:r>
            <w:r>
              <w:rPr>
                <w:noProof/>
                <w:webHidden/>
              </w:rPr>
            </w:r>
            <w:r>
              <w:rPr>
                <w:noProof/>
                <w:webHidden/>
              </w:rPr>
              <w:fldChar w:fldCharType="separate"/>
            </w:r>
            <w:r>
              <w:rPr>
                <w:noProof/>
                <w:webHidden/>
              </w:rPr>
              <w:t>10</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437409" w:rsidRDefault="00437409" w:rsidP="001D4C01">
      <w:pPr>
        <w:pStyle w:val="Titre1"/>
      </w:pPr>
      <w:bookmarkStart w:id="1" w:name="_Toc231994017"/>
      <w:proofErr w:type="spellStart"/>
      <w:r>
        <w:lastRenderedPageBreak/>
        <w:t>A</w:t>
      </w:r>
      <w:r w:rsidR="00972E74">
        <w:t>deme</w:t>
      </w:r>
      <w:bookmarkEnd w:id="1"/>
      <w:proofErr w:type="spellEnd"/>
    </w:p>
    <w:p w:rsidR="00437409" w:rsidRDefault="00437409" w:rsidP="00437409">
      <w:pPr>
        <w:pStyle w:val="Textebrut"/>
      </w:pPr>
    </w:p>
    <w:p w:rsidR="00E4263B" w:rsidRPr="00E4263B" w:rsidRDefault="00E4263B" w:rsidP="00E4263B">
      <w:pPr>
        <w:pStyle w:val="Textebrut"/>
        <w:pBdr>
          <w:left w:val="single" w:sz="4" w:space="4" w:color="auto"/>
        </w:pBdr>
        <w:jc w:val="both"/>
        <w:rPr>
          <w:b/>
        </w:rPr>
      </w:pPr>
      <w:r w:rsidRPr="00E4263B">
        <w:rPr>
          <w:b/>
        </w:rPr>
        <w:sym w:font="Wingdings" w:char="F0E8"/>
      </w:r>
      <w:r w:rsidRPr="00E4263B">
        <w:rPr>
          <w:b/>
        </w:rPr>
        <w:t xml:space="preserve"> Nominations au conseil d’administration de l’Agence de l’environnement et de la maîtrise de l’énergie</w:t>
      </w:r>
    </w:p>
    <w:p w:rsidR="00E4263B" w:rsidRDefault="00E4263B" w:rsidP="00E4263B">
      <w:pPr>
        <w:pStyle w:val="Textebrut"/>
        <w:pBdr>
          <w:left w:val="single" w:sz="4" w:space="4" w:color="auto"/>
        </w:pBdr>
        <w:jc w:val="both"/>
      </w:pPr>
    </w:p>
    <w:p w:rsidR="00437409" w:rsidRPr="00437409" w:rsidRDefault="006B52B9" w:rsidP="00E4263B">
      <w:pPr>
        <w:pStyle w:val="Textebrut"/>
        <w:pBdr>
          <w:left w:val="single" w:sz="4" w:space="4" w:color="auto"/>
        </w:pBdr>
        <w:jc w:val="both"/>
        <w:rPr>
          <w:i/>
        </w:rPr>
      </w:pPr>
      <w:hyperlink r:id="rId9" w:history="1">
        <w:r w:rsidR="00437409" w:rsidRPr="00437409">
          <w:rPr>
            <w:rStyle w:val="Lienhypertexte"/>
            <w:i/>
            <w:color w:val="auto"/>
          </w:rPr>
          <w:t>Décret du 7 mai 2026 portant nomination au conseil d'administration de l'Agence de l'environnement et de la maîtrise de l'énergie.</w:t>
        </w:r>
      </w:hyperlink>
    </w:p>
    <w:p w:rsidR="00437409" w:rsidRDefault="00437409" w:rsidP="00437409">
      <w:pPr>
        <w:pStyle w:val="Textebrut"/>
      </w:pPr>
    </w:p>
    <w:p w:rsidR="009C2693" w:rsidRDefault="009C2693" w:rsidP="00437409">
      <w:pPr>
        <w:pStyle w:val="Textebrut"/>
      </w:pPr>
    </w:p>
    <w:p w:rsidR="009C2693" w:rsidRDefault="009C2693" w:rsidP="00437409">
      <w:pPr>
        <w:pStyle w:val="Textebrut"/>
      </w:pPr>
    </w:p>
    <w:p w:rsidR="001C6DA0" w:rsidRDefault="001C6DA0" w:rsidP="009C2693">
      <w:pPr>
        <w:pStyle w:val="Titre1"/>
      </w:pPr>
      <w:bookmarkStart w:id="2" w:name="_Toc231994018"/>
      <w:r>
        <w:t>Agrément d’équipements</w:t>
      </w:r>
      <w:bookmarkEnd w:id="2"/>
    </w:p>
    <w:p w:rsidR="009C2693" w:rsidRPr="009C2693" w:rsidRDefault="009C2693" w:rsidP="009C2693"/>
    <w:p w:rsidR="001C6DA0" w:rsidRPr="001C6DA0" w:rsidRDefault="001C6DA0" w:rsidP="009D6AB6">
      <w:pPr>
        <w:pStyle w:val="Textebrut"/>
        <w:pBdr>
          <w:left w:val="single" w:sz="4" w:space="4" w:color="auto"/>
        </w:pBdr>
        <w:jc w:val="both"/>
        <w:rPr>
          <w:b/>
        </w:rPr>
      </w:pPr>
      <w:r w:rsidRPr="001C6DA0">
        <w:rPr>
          <w:b/>
        </w:rPr>
        <w:sym w:font="Wingdings" w:char="F0E8"/>
      </w:r>
      <w:r w:rsidRPr="001C6DA0">
        <w:rPr>
          <w:b/>
        </w:rPr>
        <w:t xml:space="preserve"> I</w:t>
      </w:r>
      <w:r w:rsidRPr="001C6DA0">
        <w:rPr>
          <w:b/>
        </w:rPr>
        <w:t>nstruction des demandes d’agrément</w:t>
      </w:r>
      <w:r w:rsidRPr="001C6DA0">
        <w:rPr>
          <w:b/>
        </w:rPr>
        <w:t xml:space="preserve"> </w:t>
      </w:r>
      <w:r w:rsidRPr="001C6DA0">
        <w:rPr>
          <w:b/>
        </w:rPr>
        <w:t>de modèles de pompes à chaleur en matière de qualité et de résilience industrielle</w:t>
      </w:r>
    </w:p>
    <w:p w:rsidR="001C6DA0" w:rsidRDefault="001C6DA0" w:rsidP="009D6AB6">
      <w:pPr>
        <w:pStyle w:val="Textebrut"/>
        <w:pBdr>
          <w:left w:val="single" w:sz="4" w:space="4" w:color="auto"/>
        </w:pBdr>
        <w:jc w:val="both"/>
      </w:pPr>
    </w:p>
    <w:p w:rsidR="001C6DA0" w:rsidRDefault="001C6DA0" w:rsidP="009D6AB6">
      <w:pPr>
        <w:pStyle w:val="Textebrut"/>
        <w:pBdr>
          <w:left w:val="single" w:sz="4" w:space="4" w:color="auto"/>
        </w:pBdr>
        <w:jc w:val="both"/>
      </w:pPr>
      <w:r>
        <w:t>C</w:t>
      </w:r>
      <w:r>
        <w:t>e décret précise la procédure d’agrément des modèles de pompes à chaleur contribuant à l’amélioration de la qualité de ces équipements, à la résilience de leurs chaînes d’approvisionnement et à la réduction des impacts environnementaux associés.</w:t>
      </w:r>
    </w:p>
    <w:p w:rsidR="001C6DA0" w:rsidRDefault="001C6DA0" w:rsidP="009D6AB6">
      <w:pPr>
        <w:pStyle w:val="Textebrut"/>
        <w:pBdr>
          <w:left w:val="single" w:sz="4" w:space="4" w:color="auto"/>
        </w:pBdr>
        <w:jc w:val="both"/>
      </w:pPr>
    </w:p>
    <w:p w:rsidR="001C6DA0" w:rsidRPr="001C6DA0" w:rsidRDefault="001C6DA0" w:rsidP="009D6AB6">
      <w:pPr>
        <w:pStyle w:val="Textebrut"/>
        <w:pBdr>
          <w:left w:val="single" w:sz="4" w:space="4" w:color="auto"/>
        </w:pBdr>
        <w:jc w:val="both"/>
        <w:rPr>
          <w:i/>
        </w:rPr>
      </w:pPr>
      <w:hyperlink r:id="rId10" w:history="1">
        <w:r w:rsidRPr="001C6DA0">
          <w:rPr>
            <w:rStyle w:val="Lienhypertexte"/>
            <w:b/>
            <w:i/>
            <w:color w:val="auto"/>
          </w:rPr>
          <w:t>Décret n° 2026-413 du 29 mai 2026</w:t>
        </w:r>
        <w:r w:rsidRPr="001C6DA0">
          <w:rPr>
            <w:rStyle w:val="Lienhypertexte"/>
            <w:i/>
            <w:color w:val="auto"/>
          </w:rPr>
          <w:t xml:space="preserve"> relatif à l'instruction des demandes d'agrément de modèles de pompes à chaleur en matière de qualité et de résilience industrielle.</w:t>
        </w:r>
      </w:hyperlink>
    </w:p>
    <w:p w:rsidR="001C6DA0" w:rsidRDefault="001C6DA0" w:rsidP="001C6DA0">
      <w:pPr>
        <w:pStyle w:val="Textebrut"/>
      </w:pPr>
    </w:p>
    <w:p w:rsidR="009C2693" w:rsidRDefault="009C2693" w:rsidP="001C6DA0">
      <w:pPr>
        <w:pStyle w:val="Textebrut"/>
      </w:pPr>
    </w:p>
    <w:p w:rsidR="00700B8F" w:rsidRDefault="00700B8F" w:rsidP="001C6DA0">
      <w:pPr>
        <w:pStyle w:val="Textebrut"/>
      </w:pPr>
    </w:p>
    <w:p w:rsidR="00700B8F" w:rsidRPr="00700B8F" w:rsidRDefault="00700B8F" w:rsidP="009D6AB6">
      <w:pPr>
        <w:pStyle w:val="Textebrut"/>
        <w:pBdr>
          <w:left w:val="single" w:sz="4" w:space="4" w:color="auto"/>
        </w:pBdr>
        <w:jc w:val="both"/>
        <w:rPr>
          <w:b/>
        </w:rPr>
      </w:pPr>
      <w:r w:rsidRPr="00700B8F">
        <w:rPr>
          <w:b/>
        </w:rPr>
        <w:sym w:font="Wingdings" w:char="F0E8"/>
      </w:r>
      <w:r w:rsidRPr="00700B8F">
        <w:rPr>
          <w:b/>
        </w:rPr>
        <w:t xml:space="preserve"> C</w:t>
      </w:r>
      <w:r w:rsidRPr="00700B8F">
        <w:rPr>
          <w:b/>
        </w:rPr>
        <w:t>onditions d’agrément des modèles de pompes à chaleur en matière de qualité et de résilience industrielle</w:t>
      </w:r>
    </w:p>
    <w:p w:rsidR="00700B8F" w:rsidRDefault="00700B8F" w:rsidP="009D6AB6">
      <w:pPr>
        <w:pStyle w:val="Textebrut"/>
        <w:pBdr>
          <w:left w:val="single" w:sz="4" w:space="4" w:color="auto"/>
        </w:pBdr>
        <w:jc w:val="both"/>
      </w:pPr>
    </w:p>
    <w:p w:rsidR="00700B8F" w:rsidRDefault="00B43A5F" w:rsidP="009D6AB6">
      <w:pPr>
        <w:pStyle w:val="Textebrut"/>
        <w:pBdr>
          <w:left w:val="single" w:sz="4" w:space="4" w:color="auto"/>
        </w:pBdr>
        <w:jc w:val="both"/>
      </w:pPr>
      <w:r>
        <w:t>Le présent arrêté définit l</w:t>
      </w:r>
      <w:r w:rsidR="00700B8F">
        <w:t>es conditions d’agrément des modèles de pompes à chaleur contribuant à l’amélioration de la qualité de ces équipements, à la résilience de leurs chaînes d’approvisionnement et à la réduction des impacts environnementaux associés, ainsi que des informations et pièces justificatives devant être mises à disposition de l’Agence de l’environnement et de la maîtrise de l’énergie par le fabricant.</w:t>
      </w:r>
    </w:p>
    <w:p w:rsidR="00700B8F" w:rsidRDefault="00700B8F" w:rsidP="009D6AB6">
      <w:pPr>
        <w:pStyle w:val="Textebrut"/>
        <w:pBdr>
          <w:left w:val="single" w:sz="4" w:space="4" w:color="auto"/>
        </w:pBdr>
        <w:jc w:val="both"/>
      </w:pPr>
    </w:p>
    <w:p w:rsidR="00700B8F" w:rsidRPr="00700B8F" w:rsidRDefault="00700B8F" w:rsidP="009D6AB6">
      <w:pPr>
        <w:pStyle w:val="Textebrut"/>
        <w:pBdr>
          <w:left w:val="single" w:sz="4" w:space="4" w:color="auto"/>
        </w:pBdr>
        <w:jc w:val="both"/>
        <w:rPr>
          <w:i/>
        </w:rPr>
      </w:pPr>
      <w:hyperlink r:id="rId11" w:history="1">
        <w:r w:rsidRPr="00700B8F">
          <w:rPr>
            <w:rStyle w:val="Lienhypertexte"/>
            <w:b/>
            <w:i/>
            <w:color w:val="auto"/>
          </w:rPr>
          <w:t>Arrêté du 29 mai 2026</w:t>
        </w:r>
        <w:r w:rsidRPr="00700B8F">
          <w:rPr>
            <w:rStyle w:val="Lienhypertexte"/>
            <w:i/>
            <w:color w:val="auto"/>
          </w:rPr>
          <w:t xml:space="preserve"> fixant les conditions d'agrément des modèles de pompes à chaleur en matière de qualité et de résilience industrielle.</w:t>
        </w:r>
      </w:hyperlink>
    </w:p>
    <w:p w:rsidR="00700B8F" w:rsidRDefault="00700B8F" w:rsidP="00B43A5F">
      <w:pPr>
        <w:pStyle w:val="Textebrut"/>
      </w:pPr>
    </w:p>
    <w:p w:rsidR="00700B8F" w:rsidRDefault="00700B8F" w:rsidP="00700B8F">
      <w:pPr>
        <w:pStyle w:val="Textebrut"/>
      </w:pPr>
    </w:p>
    <w:p w:rsidR="00700B8F" w:rsidRDefault="00700B8F" w:rsidP="001C6DA0">
      <w:pPr>
        <w:pStyle w:val="Textebrut"/>
      </w:pPr>
    </w:p>
    <w:p w:rsidR="001D4C01" w:rsidRDefault="001D4C01" w:rsidP="001D4C01">
      <w:pPr>
        <w:pStyle w:val="Titre1"/>
      </w:pPr>
      <w:bookmarkStart w:id="3" w:name="_Toc231994019"/>
      <w:r>
        <w:t>Aides</w:t>
      </w:r>
      <w:bookmarkEnd w:id="3"/>
      <w:r>
        <w:t xml:space="preserve"> </w:t>
      </w:r>
    </w:p>
    <w:p w:rsidR="001D4C01" w:rsidRDefault="001D4C01" w:rsidP="001D4C01">
      <w:pPr>
        <w:pStyle w:val="Textebrut"/>
      </w:pPr>
    </w:p>
    <w:p w:rsidR="001D4C01" w:rsidRPr="001D4C01" w:rsidRDefault="001D4C01" w:rsidP="0025490F">
      <w:pPr>
        <w:pStyle w:val="Textebrut"/>
        <w:pBdr>
          <w:left w:val="single" w:sz="4" w:space="4" w:color="auto"/>
        </w:pBdr>
        <w:jc w:val="both"/>
        <w:rPr>
          <w:b/>
        </w:rPr>
      </w:pPr>
      <w:r w:rsidRPr="001D4C01">
        <w:rPr>
          <w:b/>
        </w:rPr>
        <w:sym w:font="Wingdings" w:char="F0E8"/>
      </w:r>
      <w:r w:rsidRPr="001D4C01">
        <w:rPr>
          <w:b/>
        </w:rPr>
        <w:t xml:space="preserve"> Mise en place d’une indemnité carburant destinée à limiter les effets de la hausse des coûts des carburants pour les actifs utilisant un véhicule à des fins professionnelles</w:t>
      </w:r>
    </w:p>
    <w:p w:rsidR="001D4C01" w:rsidRDefault="001D4C01" w:rsidP="0025490F">
      <w:pPr>
        <w:pStyle w:val="Textebrut"/>
        <w:pBdr>
          <w:left w:val="single" w:sz="4" w:space="4" w:color="auto"/>
        </w:pBdr>
        <w:jc w:val="both"/>
      </w:pPr>
    </w:p>
    <w:p w:rsidR="001D4C01" w:rsidRPr="001D4C01" w:rsidRDefault="006B52B9" w:rsidP="0025490F">
      <w:pPr>
        <w:pStyle w:val="Textebrut"/>
        <w:pBdr>
          <w:left w:val="single" w:sz="4" w:space="4" w:color="auto"/>
        </w:pBdr>
        <w:jc w:val="both"/>
        <w:rPr>
          <w:i/>
        </w:rPr>
      </w:pPr>
      <w:hyperlink r:id="rId12" w:history="1">
        <w:r w:rsidR="001D4C01" w:rsidRPr="001D4C01">
          <w:rPr>
            <w:rStyle w:val="Lienhypertexte"/>
            <w:b/>
            <w:i/>
            <w:color w:val="auto"/>
          </w:rPr>
          <w:t>Décret n° 2026-333 du 30 avril 2026</w:t>
        </w:r>
        <w:r w:rsidR="001D4C01" w:rsidRPr="001D4C01">
          <w:rPr>
            <w:rStyle w:val="Lienhypertexte"/>
            <w:i/>
            <w:color w:val="auto"/>
          </w:rPr>
          <w:t xml:space="preserve"> relatif à la création, aux conditions et aux modalités de versement d'une indemnité carburant.</w:t>
        </w:r>
      </w:hyperlink>
    </w:p>
    <w:p w:rsidR="001D4C01" w:rsidRDefault="001D4C01" w:rsidP="0025490F">
      <w:pPr>
        <w:pStyle w:val="Textebrut"/>
        <w:jc w:val="both"/>
      </w:pPr>
      <w:r>
        <w:t xml:space="preserve">        </w:t>
      </w:r>
    </w:p>
    <w:p w:rsidR="002E041C" w:rsidRDefault="002E041C" w:rsidP="0025490F">
      <w:pPr>
        <w:pStyle w:val="Textebrut"/>
        <w:jc w:val="both"/>
      </w:pPr>
    </w:p>
    <w:p w:rsidR="002E041C" w:rsidRPr="0025490F" w:rsidRDefault="002E041C" w:rsidP="0025490F">
      <w:pPr>
        <w:pStyle w:val="Textebrut"/>
        <w:jc w:val="both"/>
        <w:rPr>
          <w:b/>
        </w:rPr>
      </w:pPr>
    </w:p>
    <w:p w:rsidR="001D4C01" w:rsidRPr="0025490F" w:rsidRDefault="002E041C" w:rsidP="0025490F">
      <w:pPr>
        <w:pStyle w:val="Textebrut"/>
        <w:pBdr>
          <w:left w:val="single" w:sz="4" w:space="4" w:color="auto"/>
        </w:pBdr>
        <w:jc w:val="both"/>
        <w:rPr>
          <w:b/>
        </w:rPr>
      </w:pPr>
      <w:r w:rsidRPr="0025490F">
        <w:rPr>
          <w:b/>
        </w:rPr>
        <w:lastRenderedPageBreak/>
        <w:sym w:font="Wingdings" w:char="F0E8"/>
      </w:r>
      <w:r w:rsidRPr="0025490F">
        <w:rPr>
          <w:b/>
        </w:rPr>
        <w:t xml:space="preserve"> </w:t>
      </w:r>
      <w:r w:rsidR="0025490F" w:rsidRPr="0025490F">
        <w:rPr>
          <w:b/>
        </w:rPr>
        <w:t>Création d’une aide financière exceptionnelle pour les entreprises qui acquièrent au mois d’avril 2026 du gazole non routier pour la réalisation de travaux agricoles ou forestiers</w:t>
      </w:r>
    </w:p>
    <w:p w:rsidR="002E041C" w:rsidRDefault="002E041C" w:rsidP="0025490F">
      <w:pPr>
        <w:pStyle w:val="Textebrut"/>
        <w:pBdr>
          <w:left w:val="single" w:sz="4" w:space="4" w:color="auto"/>
        </w:pBdr>
        <w:jc w:val="both"/>
      </w:pPr>
    </w:p>
    <w:p w:rsidR="001D4C01" w:rsidRPr="002E041C" w:rsidRDefault="006B52B9" w:rsidP="0025490F">
      <w:pPr>
        <w:pStyle w:val="Textebrut"/>
        <w:pBdr>
          <w:left w:val="single" w:sz="4" w:space="4" w:color="auto"/>
        </w:pBdr>
        <w:jc w:val="both"/>
        <w:rPr>
          <w:i/>
        </w:rPr>
      </w:pPr>
      <w:hyperlink r:id="rId13" w:history="1">
        <w:r w:rsidR="001D4C01" w:rsidRPr="002E041C">
          <w:rPr>
            <w:rStyle w:val="Lienhypertexte"/>
            <w:b/>
            <w:i/>
            <w:color w:val="auto"/>
          </w:rPr>
          <w:t>Décret n° 2026-334 du 30 avril 2026</w:t>
        </w:r>
        <w:r w:rsidR="001D4C01" w:rsidRPr="002E041C">
          <w:rPr>
            <w:rStyle w:val="Lienhypertexte"/>
            <w:i/>
            <w:color w:val="auto"/>
          </w:rPr>
          <w:t xml:space="preserve"> portant création d'une aide financière pour l'acquisition de gazole non routier utilisé pour la réalisation de travaux agricoles et forestiers</w:t>
        </w:r>
        <w:r w:rsidR="002E041C" w:rsidRPr="002E041C">
          <w:rPr>
            <w:rStyle w:val="Lienhypertexte"/>
            <w:i/>
            <w:color w:val="auto"/>
          </w:rPr>
          <w:t>.</w:t>
        </w:r>
      </w:hyperlink>
    </w:p>
    <w:p w:rsidR="001D4C01" w:rsidRDefault="001D4C01" w:rsidP="001D4C01">
      <w:pPr>
        <w:pStyle w:val="Textebrut"/>
      </w:pPr>
      <w:r>
        <w:t xml:space="preserve">     </w:t>
      </w:r>
    </w:p>
    <w:p w:rsidR="001D4C01" w:rsidRDefault="001D4C01" w:rsidP="001D4C01">
      <w:pPr>
        <w:pStyle w:val="Textebrut"/>
      </w:pPr>
    </w:p>
    <w:p w:rsidR="00D62BC8" w:rsidRDefault="00D62BC8" w:rsidP="001D4C01">
      <w:pPr>
        <w:pStyle w:val="Textebrut"/>
      </w:pPr>
    </w:p>
    <w:p w:rsidR="00C57F3C" w:rsidRPr="00C57F3C" w:rsidRDefault="00C57F3C" w:rsidP="005B79FF">
      <w:pPr>
        <w:pStyle w:val="Textebrut"/>
        <w:pBdr>
          <w:left w:val="single" w:sz="4" w:space="4" w:color="auto"/>
        </w:pBdr>
        <w:jc w:val="both"/>
        <w:rPr>
          <w:b/>
        </w:rPr>
      </w:pPr>
      <w:r w:rsidRPr="00C57F3C">
        <w:rPr>
          <w:b/>
        </w:rPr>
        <w:sym w:font="Wingdings" w:char="F0E8"/>
      </w:r>
      <w:r w:rsidRPr="00C57F3C">
        <w:rPr>
          <w:b/>
        </w:rPr>
        <w:t xml:space="preserve"> S</w:t>
      </w:r>
      <w:r w:rsidRPr="00C57F3C">
        <w:rPr>
          <w:b/>
        </w:rPr>
        <w:t>out</w:t>
      </w:r>
      <w:r w:rsidRPr="00C57F3C">
        <w:rPr>
          <w:b/>
        </w:rPr>
        <w:t>ien</w:t>
      </w:r>
      <w:r w:rsidRPr="00C57F3C">
        <w:rPr>
          <w:b/>
        </w:rPr>
        <w:t xml:space="preserve">, pendant trois ans, </w:t>
      </w:r>
      <w:r w:rsidRPr="00C57F3C">
        <w:rPr>
          <w:b/>
        </w:rPr>
        <w:t>aux</w:t>
      </w:r>
      <w:r w:rsidRPr="00C57F3C">
        <w:rPr>
          <w:b/>
        </w:rPr>
        <w:t xml:space="preserve"> entreprises industrielles les plus affectées par la redevance prévue à</w:t>
      </w:r>
      <w:r w:rsidRPr="00C57F3C">
        <w:rPr>
          <w:b/>
        </w:rPr>
        <w:t xml:space="preserve"> </w:t>
      </w:r>
      <w:r w:rsidRPr="00C57F3C">
        <w:rPr>
          <w:b/>
        </w:rPr>
        <w:t>l’article L. 213-10-4 du code de l’environnement</w:t>
      </w:r>
    </w:p>
    <w:p w:rsidR="00C57F3C" w:rsidRDefault="00C57F3C" w:rsidP="005B79FF">
      <w:pPr>
        <w:pStyle w:val="Textebrut"/>
        <w:pBdr>
          <w:left w:val="single" w:sz="4" w:space="4" w:color="auto"/>
        </w:pBdr>
        <w:jc w:val="both"/>
      </w:pPr>
    </w:p>
    <w:p w:rsidR="00C57F3C" w:rsidRDefault="00C57F3C" w:rsidP="005B79FF">
      <w:pPr>
        <w:pStyle w:val="Textebrut"/>
        <w:pBdr>
          <w:left w:val="single" w:sz="4" w:space="4" w:color="auto"/>
        </w:pBdr>
        <w:jc w:val="both"/>
      </w:pPr>
      <w:bookmarkStart w:id="4" w:name="_Hlk231990511"/>
      <w:r>
        <w:t>Le présent décret précise le soutien</w:t>
      </w:r>
      <w:r>
        <w:t xml:space="preserve">, pendant trois ans, </w:t>
      </w:r>
      <w:r>
        <w:t>d</w:t>
      </w:r>
      <w:r>
        <w:t>es entreprises industrielles les plus affectées par la redevance prévue à</w:t>
      </w:r>
      <w:r>
        <w:t xml:space="preserve"> </w:t>
      </w:r>
      <w:r>
        <w:t>l’article L. 213-10-4 du code de l’environnement</w:t>
      </w:r>
      <w:bookmarkEnd w:id="4"/>
      <w:r>
        <w:t>, en tenant compte de la part que représente cette nouvelle charge</w:t>
      </w:r>
      <w:r>
        <w:t xml:space="preserve"> </w:t>
      </w:r>
      <w:r>
        <w:t xml:space="preserve">fiscale dans leur valeur ajoutée. </w:t>
      </w:r>
    </w:p>
    <w:p w:rsidR="00C57F3C" w:rsidRDefault="00C57F3C" w:rsidP="005B79FF">
      <w:pPr>
        <w:pStyle w:val="Textebrut"/>
        <w:pBdr>
          <w:left w:val="single" w:sz="4" w:space="4" w:color="auto"/>
        </w:pBdr>
        <w:jc w:val="both"/>
      </w:pPr>
    </w:p>
    <w:p w:rsidR="00C57F3C" w:rsidRDefault="00C57F3C" w:rsidP="005B79FF">
      <w:pPr>
        <w:pStyle w:val="Textebrut"/>
        <w:pBdr>
          <w:left w:val="single" w:sz="4" w:space="4" w:color="auto"/>
        </w:pBdr>
        <w:jc w:val="both"/>
      </w:pPr>
      <w:r>
        <w:t>Le décret définit les modalités du dispositif d’aide transitoire et dégressive</w:t>
      </w:r>
      <w:r>
        <w:t xml:space="preserve"> </w:t>
      </w:r>
      <w:r>
        <w:t>accordée par les agences de l’eau aux entreprises redevables de la redevance précitée.</w:t>
      </w:r>
    </w:p>
    <w:p w:rsidR="00C57F3C" w:rsidRDefault="00C57F3C" w:rsidP="005B79FF">
      <w:pPr>
        <w:pStyle w:val="Textebrut"/>
        <w:pBdr>
          <w:left w:val="single" w:sz="4" w:space="4" w:color="auto"/>
        </w:pBdr>
        <w:jc w:val="both"/>
      </w:pPr>
    </w:p>
    <w:p w:rsidR="00C57F3C" w:rsidRPr="00C57F3C" w:rsidRDefault="00C57F3C" w:rsidP="005B79FF">
      <w:pPr>
        <w:pStyle w:val="Textebrut"/>
        <w:pBdr>
          <w:left w:val="single" w:sz="4" w:space="4" w:color="auto"/>
        </w:pBdr>
        <w:jc w:val="both"/>
        <w:rPr>
          <w:i/>
        </w:rPr>
      </w:pPr>
      <w:hyperlink r:id="rId14" w:history="1">
        <w:r w:rsidRPr="00C57F3C">
          <w:rPr>
            <w:rStyle w:val="Lienhypertexte"/>
            <w:b/>
            <w:i/>
            <w:color w:val="auto"/>
          </w:rPr>
          <w:t>Décret n° 2026-391 du 22 mai 2026</w:t>
        </w:r>
        <w:r w:rsidRPr="00C57F3C">
          <w:rPr>
            <w:rStyle w:val="Lienhypertexte"/>
            <w:i/>
            <w:color w:val="auto"/>
          </w:rPr>
          <w:t xml:space="preserve"> relatif à l'aide aux entreprises supportant une charge élevée de </w:t>
        </w:r>
        <w:proofErr w:type="gramStart"/>
        <w:r w:rsidRPr="00C57F3C">
          <w:rPr>
            <w:rStyle w:val="Lienhypertexte"/>
            <w:i/>
            <w:color w:val="auto"/>
          </w:rPr>
          <w:t>redevance</w:t>
        </w:r>
        <w:proofErr w:type="gramEnd"/>
        <w:r w:rsidRPr="00C57F3C">
          <w:rPr>
            <w:rStyle w:val="Lienhypertexte"/>
            <w:i/>
            <w:color w:val="auto"/>
          </w:rPr>
          <w:t xml:space="preserve"> sur la consommation d'eau potable au regard de leur valeur ajoutée.</w:t>
        </w:r>
      </w:hyperlink>
    </w:p>
    <w:p w:rsidR="00C57F3C" w:rsidRDefault="00C57F3C" w:rsidP="00C57F3C">
      <w:pPr>
        <w:pStyle w:val="Textebrut"/>
      </w:pPr>
    </w:p>
    <w:p w:rsidR="005B79FF" w:rsidRDefault="005B79FF" w:rsidP="00C57F3C">
      <w:pPr>
        <w:pStyle w:val="Textebrut"/>
      </w:pPr>
    </w:p>
    <w:p w:rsidR="005B79FF" w:rsidRDefault="005B79FF" w:rsidP="00C57F3C">
      <w:pPr>
        <w:pStyle w:val="Textebrut"/>
      </w:pPr>
    </w:p>
    <w:p w:rsidR="0067566A" w:rsidRPr="00AE1850" w:rsidRDefault="0067566A" w:rsidP="00AE1850">
      <w:pPr>
        <w:pStyle w:val="Textebrut"/>
        <w:pBdr>
          <w:left w:val="single" w:sz="4" w:space="4" w:color="auto"/>
        </w:pBdr>
        <w:jc w:val="both"/>
        <w:rPr>
          <w:b/>
        </w:rPr>
      </w:pPr>
      <w:r w:rsidRPr="00AE1850">
        <w:rPr>
          <w:b/>
        </w:rPr>
        <w:sym w:font="Wingdings" w:char="F0E8"/>
      </w:r>
      <w:r w:rsidRPr="00AE1850">
        <w:rPr>
          <w:b/>
        </w:rPr>
        <w:t xml:space="preserve"> Modification des aides </w:t>
      </w:r>
      <w:r w:rsidR="00AE1850" w:rsidRPr="00AE1850">
        <w:rPr>
          <w:b/>
        </w:rPr>
        <w:t>exceptionnelles attribuées aux entreprises de transport public routier</w:t>
      </w:r>
    </w:p>
    <w:p w:rsidR="0067566A" w:rsidRDefault="0067566A" w:rsidP="00AE1850">
      <w:pPr>
        <w:pStyle w:val="Textebrut"/>
        <w:pBdr>
          <w:left w:val="single" w:sz="4" w:space="4" w:color="auto"/>
        </w:pBdr>
        <w:jc w:val="both"/>
      </w:pPr>
    </w:p>
    <w:p w:rsidR="00AE1850" w:rsidRDefault="00AE1850" w:rsidP="00AE1850">
      <w:pPr>
        <w:pStyle w:val="Textebrut"/>
        <w:pBdr>
          <w:left w:val="single" w:sz="4" w:space="4" w:color="auto"/>
        </w:pBdr>
        <w:jc w:val="both"/>
      </w:pPr>
      <w:r>
        <w:t>Le présent décret m</w:t>
      </w:r>
      <w:r>
        <w:t>odifi</w:t>
      </w:r>
      <w:r>
        <w:t xml:space="preserve">e le </w:t>
      </w:r>
      <w:r>
        <w:t>décret n</w:t>
      </w:r>
      <w:r>
        <w:t>°</w:t>
      </w:r>
      <w:r>
        <w:t>2026-289 du 17 avril 2026 relatif aux aides exceptionnelles attribuées aux</w:t>
      </w:r>
      <w:r>
        <w:t xml:space="preserve"> </w:t>
      </w:r>
      <w:r>
        <w:t xml:space="preserve">entreprises de transport public routier afin, d’une part, de simplifier les modalités </w:t>
      </w:r>
      <w:proofErr w:type="gramStart"/>
      <w:r>
        <w:t>d’accès</w:t>
      </w:r>
      <w:proofErr w:type="gramEnd"/>
      <w:r>
        <w:t xml:space="preserve"> au dispositif de soutien</w:t>
      </w:r>
      <w:r>
        <w:t xml:space="preserve"> </w:t>
      </w:r>
      <w:r>
        <w:t>par la suppression de la condition préalable de demande d’un délai de paiement des cotisations sociales pour</w:t>
      </w:r>
      <w:r>
        <w:t xml:space="preserve"> </w:t>
      </w:r>
      <w:r>
        <w:t>l’octroi de l’aide, d’autre part, de modifier la date de référence des conditions relatives à l’appréciation des</w:t>
      </w:r>
      <w:r>
        <w:t xml:space="preserve"> </w:t>
      </w:r>
      <w:r>
        <w:t>conditions d’éligibilité des véhicules.</w:t>
      </w:r>
    </w:p>
    <w:p w:rsidR="00AE1850" w:rsidRDefault="00AE1850" w:rsidP="00AE1850">
      <w:pPr>
        <w:pStyle w:val="Textebrut"/>
        <w:pBdr>
          <w:left w:val="single" w:sz="4" w:space="4" w:color="auto"/>
        </w:pBdr>
        <w:jc w:val="both"/>
      </w:pPr>
    </w:p>
    <w:p w:rsidR="005B79FF" w:rsidRPr="0067566A" w:rsidRDefault="0067566A" w:rsidP="00AE1850">
      <w:pPr>
        <w:pStyle w:val="Textebrut"/>
        <w:pBdr>
          <w:left w:val="single" w:sz="4" w:space="4" w:color="auto"/>
        </w:pBdr>
        <w:jc w:val="both"/>
        <w:rPr>
          <w:i/>
        </w:rPr>
      </w:pPr>
      <w:hyperlink r:id="rId15" w:history="1">
        <w:r w:rsidR="005B79FF" w:rsidRPr="0067566A">
          <w:rPr>
            <w:rStyle w:val="Lienhypertexte"/>
            <w:b/>
            <w:i/>
            <w:color w:val="auto"/>
          </w:rPr>
          <w:t>Décret n° 2026-399 du 22 mai 2026</w:t>
        </w:r>
        <w:r w:rsidR="005B79FF" w:rsidRPr="0067566A">
          <w:rPr>
            <w:rStyle w:val="Lienhypertexte"/>
            <w:i/>
            <w:color w:val="auto"/>
          </w:rPr>
          <w:t xml:space="preserve"> modifiant le décret n° 2026-289 du 17 avril 2026 relatif aux aides exceptionnelles attribuées aux entreprises de transport public routier</w:t>
        </w:r>
        <w:r w:rsidRPr="0067566A">
          <w:rPr>
            <w:rStyle w:val="Lienhypertexte"/>
            <w:i/>
            <w:color w:val="auto"/>
          </w:rPr>
          <w:t>.</w:t>
        </w:r>
      </w:hyperlink>
    </w:p>
    <w:p w:rsidR="005B79FF" w:rsidRDefault="005B79FF" w:rsidP="005B79FF">
      <w:pPr>
        <w:pStyle w:val="Textebrut"/>
      </w:pPr>
    </w:p>
    <w:p w:rsidR="00981E9B" w:rsidRDefault="00981E9B" w:rsidP="005B79FF">
      <w:pPr>
        <w:pStyle w:val="Textebrut"/>
      </w:pPr>
    </w:p>
    <w:p w:rsidR="009C2693" w:rsidRDefault="009C2693" w:rsidP="005B79FF">
      <w:pPr>
        <w:pStyle w:val="Textebrut"/>
      </w:pPr>
    </w:p>
    <w:p w:rsidR="00981E9B" w:rsidRPr="00981E9B" w:rsidRDefault="00981E9B" w:rsidP="00981E9B">
      <w:pPr>
        <w:pStyle w:val="Textebrut"/>
        <w:pBdr>
          <w:left w:val="single" w:sz="4" w:space="4" w:color="auto"/>
        </w:pBdr>
        <w:jc w:val="both"/>
        <w:rPr>
          <w:b/>
        </w:rPr>
      </w:pPr>
      <w:r w:rsidRPr="00981E9B">
        <w:rPr>
          <w:b/>
        </w:rPr>
        <w:sym w:font="Wingdings" w:char="F0E8"/>
      </w:r>
      <w:r w:rsidRPr="00981E9B">
        <w:rPr>
          <w:b/>
        </w:rPr>
        <w:t xml:space="preserve"> D</w:t>
      </w:r>
      <w:r w:rsidRPr="00981E9B">
        <w:rPr>
          <w:b/>
        </w:rPr>
        <w:t xml:space="preserve">oublement du montant, de 50 à 100 euros, de l’indemnité </w:t>
      </w:r>
      <w:r w:rsidRPr="00981E9B">
        <w:rPr>
          <w:b/>
        </w:rPr>
        <w:t xml:space="preserve">carburant </w:t>
      </w:r>
    </w:p>
    <w:p w:rsidR="00981E9B" w:rsidRDefault="00981E9B" w:rsidP="00981E9B">
      <w:pPr>
        <w:pStyle w:val="Textebrut"/>
        <w:pBdr>
          <w:left w:val="single" w:sz="4" w:space="4" w:color="auto"/>
        </w:pBdr>
        <w:jc w:val="both"/>
      </w:pPr>
    </w:p>
    <w:p w:rsidR="00981E9B" w:rsidRDefault="00981E9B" w:rsidP="000F3FF7">
      <w:pPr>
        <w:pStyle w:val="Textebrut"/>
        <w:pBdr>
          <w:left w:val="single" w:sz="4" w:space="4" w:color="auto"/>
        </w:pBdr>
        <w:jc w:val="both"/>
      </w:pPr>
      <w:r>
        <w:t>D</w:t>
      </w:r>
      <w:r>
        <w:t>oublement du montant, de 50 à 100 euros, de l’indemnité instituée par le décret n</w:t>
      </w:r>
      <w:r>
        <w:t>°</w:t>
      </w:r>
      <w:r>
        <w:t>2026-333 du 30 avril 2026 relatif à la création, aux conditions et aux modalités de versement d’une indemnité carburant destinée à limiter les effets de la hausse des coûts des carburants pour les actifs concernés, ce qui correspond à une réduction moyenne de 20 ct/L sur une période de 6 mois au lieu de 3 mois.</w:t>
      </w:r>
    </w:p>
    <w:p w:rsidR="00981E9B" w:rsidRDefault="00981E9B" w:rsidP="000F3FF7">
      <w:pPr>
        <w:pStyle w:val="Textebrut"/>
        <w:pBdr>
          <w:left w:val="single" w:sz="4" w:space="4" w:color="auto"/>
        </w:pBdr>
        <w:jc w:val="both"/>
      </w:pPr>
    </w:p>
    <w:p w:rsidR="00981E9B" w:rsidRPr="00981E9B" w:rsidRDefault="00981E9B" w:rsidP="000F3FF7">
      <w:pPr>
        <w:pStyle w:val="Textebrut"/>
        <w:pBdr>
          <w:left w:val="single" w:sz="4" w:space="4" w:color="auto"/>
        </w:pBdr>
        <w:jc w:val="both"/>
        <w:rPr>
          <w:i/>
        </w:rPr>
      </w:pPr>
      <w:hyperlink r:id="rId16" w:history="1">
        <w:r w:rsidRPr="00981E9B">
          <w:rPr>
            <w:rStyle w:val="Lienhypertexte"/>
            <w:b/>
            <w:i/>
            <w:color w:val="auto"/>
          </w:rPr>
          <w:t xml:space="preserve">Décret n° 2026-417 du 28 mai 2026 </w:t>
        </w:r>
        <w:r w:rsidRPr="00981E9B">
          <w:rPr>
            <w:rStyle w:val="Lienhypertexte"/>
            <w:i/>
            <w:color w:val="auto"/>
          </w:rPr>
          <w:t>modifiant le décret n° 2026-333 du 30 avril 2026 relatif à la création, aux conditions et aux modalités de versement d'une indemnité carburant.</w:t>
        </w:r>
      </w:hyperlink>
    </w:p>
    <w:p w:rsidR="00981E9B" w:rsidRDefault="00981E9B" w:rsidP="00981E9B">
      <w:pPr>
        <w:pStyle w:val="Textebrut"/>
      </w:pPr>
    </w:p>
    <w:p w:rsidR="009A4569" w:rsidRDefault="009A4569" w:rsidP="00981E9B">
      <w:pPr>
        <w:pStyle w:val="Textebrut"/>
      </w:pPr>
    </w:p>
    <w:p w:rsidR="009A4569" w:rsidRDefault="009A4569" w:rsidP="00981E9B">
      <w:pPr>
        <w:pStyle w:val="Textebrut"/>
      </w:pPr>
    </w:p>
    <w:p w:rsidR="00981E9B" w:rsidRPr="00F342F1" w:rsidRDefault="009A4569" w:rsidP="00F342F1">
      <w:pPr>
        <w:pStyle w:val="Textebrut"/>
        <w:pBdr>
          <w:left w:val="single" w:sz="4" w:space="4" w:color="auto"/>
        </w:pBdr>
        <w:jc w:val="both"/>
        <w:rPr>
          <w:b/>
        </w:rPr>
      </w:pPr>
      <w:r w:rsidRPr="00F342F1">
        <w:rPr>
          <w:b/>
        </w:rPr>
        <w:sym w:font="Wingdings" w:char="F0E8"/>
      </w:r>
      <w:r w:rsidRPr="00F342F1">
        <w:rPr>
          <w:b/>
        </w:rPr>
        <w:t xml:space="preserve"> Fix</w:t>
      </w:r>
      <w:r w:rsidR="00F342F1" w:rsidRPr="00F342F1">
        <w:rPr>
          <w:b/>
        </w:rPr>
        <w:t>ation de</w:t>
      </w:r>
      <w:r w:rsidRPr="00F342F1">
        <w:rPr>
          <w:b/>
        </w:rPr>
        <w:t xml:space="preserve"> la période d’ouverture de la demande d’indemnité carburant</w:t>
      </w:r>
    </w:p>
    <w:p w:rsidR="009A4569" w:rsidRDefault="009A4569" w:rsidP="00F342F1">
      <w:pPr>
        <w:pStyle w:val="Textebrut"/>
        <w:pBdr>
          <w:left w:val="single" w:sz="4" w:space="4" w:color="auto"/>
        </w:pBdr>
        <w:jc w:val="both"/>
      </w:pPr>
    </w:p>
    <w:p w:rsidR="00981E9B" w:rsidRPr="009A4569" w:rsidRDefault="009A4569" w:rsidP="00F342F1">
      <w:pPr>
        <w:pStyle w:val="Textebrut"/>
        <w:pBdr>
          <w:left w:val="single" w:sz="4" w:space="4" w:color="auto"/>
        </w:pBdr>
        <w:jc w:val="both"/>
        <w:rPr>
          <w:i/>
        </w:rPr>
      </w:pPr>
      <w:hyperlink r:id="rId17" w:history="1">
        <w:r w:rsidR="00981E9B" w:rsidRPr="009A4569">
          <w:rPr>
            <w:rStyle w:val="Lienhypertexte"/>
            <w:b/>
            <w:i/>
            <w:color w:val="auto"/>
          </w:rPr>
          <w:t xml:space="preserve">Arrêté du 28 mai 2026 </w:t>
        </w:r>
        <w:r w:rsidR="00981E9B" w:rsidRPr="009A4569">
          <w:rPr>
            <w:rStyle w:val="Lienhypertexte"/>
            <w:i/>
            <w:color w:val="auto"/>
          </w:rPr>
          <w:t>fixant la période d'ouverture de la demande d'indemnité carburant prévue par le décret n° 2026-333 du 30 avril 2026 relatif à la création, aux conditions et aux modalités de versement d'une indemnité carburant</w:t>
        </w:r>
        <w:r w:rsidRPr="009A4569">
          <w:rPr>
            <w:rStyle w:val="Lienhypertexte"/>
            <w:i/>
            <w:color w:val="auto"/>
          </w:rPr>
          <w:t>.</w:t>
        </w:r>
      </w:hyperlink>
    </w:p>
    <w:p w:rsidR="00981E9B" w:rsidRDefault="00981E9B" w:rsidP="00981E9B">
      <w:pPr>
        <w:pStyle w:val="Textebrut"/>
      </w:pPr>
    </w:p>
    <w:p w:rsidR="005B79FF" w:rsidRDefault="005B79FF" w:rsidP="005B79FF">
      <w:pPr>
        <w:pStyle w:val="Textebrut"/>
      </w:pPr>
    </w:p>
    <w:p w:rsidR="00C57F3C" w:rsidRDefault="00C57F3C" w:rsidP="001D4C01">
      <w:pPr>
        <w:pStyle w:val="Textebrut"/>
      </w:pPr>
    </w:p>
    <w:p w:rsidR="000E6286" w:rsidRDefault="00FE45DA" w:rsidP="000E6286">
      <w:pPr>
        <w:pStyle w:val="Titre1"/>
      </w:pPr>
      <w:bookmarkStart w:id="5" w:name="_Toc231994020"/>
      <w:r>
        <w:t>Appel à projets</w:t>
      </w:r>
      <w:bookmarkEnd w:id="5"/>
      <w:r w:rsidR="00001781">
        <w:t xml:space="preserve"> </w:t>
      </w:r>
    </w:p>
    <w:p w:rsidR="000E6286" w:rsidRDefault="000E6286" w:rsidP="000E6286">
      <w:pPr>
        <w:jc w:val="both"/>
      </w:pPr>
    </w:p>
    <w:p w:rsidR="00FE45DA" w:rsidRPr="005918D9" w:rsidRDefault="00FE45DA" w:rsidP="00CA1289">
      <w:pPr>
        <w:pStyle w:val="Textebrut"/>
        <w:pBdr>
          <w:left w:val="single" w:sz="4" w:space="4" w:color="auto"/>
        </w:pBdr>
        <w:jc w:val="both"/>
        <w:rPr>
          <w:b/>
        </w:rPr>
      </w:pPr>
      <w:r w:rsidRPr="005918D9">
        <w:rPr>
          <w:b/>
        </w:rPr>
        <w:sym w:font="Wingdings" w:char="F0E8"/>
      </w:r>
      <w:r w:rsidRPr="005918D9">
        <w:rPr>
          <w:b/>
        </w:rPr>
        <w:t xml:space="preserve"> </w:t>
      </w:r>
      <w:r w:rsidR="005918D9" w:rsidRPr="005918D9">
        <w:rPr>
          <w:b/>
        </w:rPr>
        <w:t xml:space="preserve">Modifications du cahier des charges de l’appel à projets « DECARB IND 25 » du plan France 2030, relatif à l’action « Industrialisation et déploiement » </w:t>
      </w:r>
    </w:p>
    <w:p w:rsidR="00FE45DA" w:rsidRDefault="00FE45DA" w:rsidP="00CA1289">
      <w:pPr>
        <w:pStyle w:val="Textebrut"/>
        <w:pBdr>
          <w:left w:val="single" w:sz="4" w:space="4" w:color="auto"/>
        </w:pBdr>
        <w:jc w:val="both"/>
      </w:pPr>
    </w:p>
    <w:p w:rsidR="00FE45DA" w:rsidRPr="00FE45DA" w:rsidRDefault="006B52B9" w:rsidP="00CA1289">
      <w:pPr>
        <w:pStyle w:val="Textebrut"/>
        <w:pBdr>
          <w:left w:val="single" w:sz="4" w:space="4" w:color="auto"/>
        </w:pBdr>
        <w:jc w:val="both"/>
        <w:rPr>
          <w:i/>
        </w:rPr>
      </w:pPr>
      <w:hyperlink r:id="rId18" w:history="1">
        <w:r w:rsidR="00FE45DA" w:rsidRPr="00FE45DA">
          <w:rPr>
            <w:rStyle w:val="Lienhypertexte"/>
            <w:b/>
            <w:i/>
            <w:color w:val="auto"/>
          </w:rPr>
          <w:t>Arrêté du 18 mars 2026</w:t>
        </w:r>
        <w:r w:rsidR="00FE45DA" w:rsidRPr="00FE45DA">
          <w:rPr>
            <w:rStyle w:val="Lienhypertexte"/>
            <w:i/>
            <w:color w:val="auto"/>
          </w:rPr>
          <w:t xml:space="preserve"> relatif à l'approbation des modifications du cahier des charges de l'appel à projets « DECARB IND 25 ».</w:t>
        </w:r>
      </w:hyperlink>
    </w:p>
    <w:p w:rsidR="00FE45DA" w:rsidRDefault="00FE45DA" w:rsidP="00FE45DA">
      <w:pPr>
        <w:pStyle w:val="Textebrut"/>
      </w:pPr>
    </w:p>
    <w:p w:rsidR="00FE45DA" w:rsidRDefault="00FE45DA" w:rsidP="00FE45DA">
      <w:pPr>
        <w:pStyle w:val="Textebrut"/>
      </w:pPr>
    </w:p>
    <w:p w:rsidR="009C2693" w:rsidRDefault="009C2693" w:rsidP="00FE45DA">
      <w:pPr>
        <w:pStyle w:val="Textebrut"/>
      </w:pPr>
    </w:p>
    <w:p w:rsidR="00001781" w:rsidRDefault="00001781" w:rsidP="00001781">
      <w:pPr>
        <w:pStyle w:val="Titre1"/>
      </w:pPr>
      <w:bookmarkStart w:id="6" w:name="_Toc231994021"/>
      <w:r>
        <w:t>Appel d’offres - Grands Projets Industriels</w:t>
      </w:r>
      <w:bookmarkEnd w:id="6"/>
      <w:r>
        <w:t xml:space="preserve"> </w:t>
      </w:r>
    </w:p>
    <w:p w:rsidR="00001781" w:rsidRDefault="00001781" w:rsidP="00001781"/>
    <w:p w:rsidR="00001781" w:rsidRPr="00001781" w:rsidRDefault="00001781" w:rsidP="00464367">
      <w:pPr>
        <w:pBdr>
          <w:left w:val="single" w:sz="4" w:space="4" w:color="auto"/>
        </w:pBdr>
        <w:jc w:val="both"/>
        <w:rPr>
          <w:b/>
        </w:rPr>
      </w:pPr>
      <w:r w:rsidRPr="00001781">
        <w:rPr>
          <w:b/>
        </w:rPr>
        <w:sym w:font="Wingdings" w:char="F0E8"/>
      </w:r>
      <w:r w:rsidRPr="00001781">
        <w:rPr>
          <w:b/>
        </w:rPr>
        <w:t xml:space="preserve"> </w:t>
      </w:r>
      <w:r w:rsidR="000136C1">
        <w:rPr>
          <w:b/>
        </w:rPr>
        <w:t xml:space="preserve">Approbation du </w:t>
      </w:r>
      <w:r w:rsidRPr="00001781">
        <w:rPr>
          <w:b/>
        </w:rPr>
        <w:t>cahier des charges de l’appel d’offres « Grands Projets Industriels de Décarbonation 2026 (AO GPID) » du plan France 2030, relatif à l’action « industrialisation et déploiement »</w:t>
      </w:r>
      <w:r w:rsidR="0003565E">
        <w:rPr>
          <w:b/>
        </w:rPr>
        <w:t xml:space="preserve"> </w:t>
      </w:r>
    </w:p>
    <w:p w:rsidR="00001781" w:rsidRDefault="00001781" w:rsidP="00464367">
      <w:pPr>
        <w:pBdr>
          <w:left w:val="single" w:sz="4" w:space="4" w:color="auto"/>
        </w:pBdr>
        <w:jc w:val="both"/>
      </w:pPr>
    </w:p>
    <w:p w:rsidR="00E85AA1" w:rsidRDefault="00E85AA1" w:rsidP="00464367">
      <w:pPr>
        <w:pBdr>
          <w:left w:val="single" w:sz="4" w:space="4" w:color="auto"/>
        </w:pBdr>
        <w:jc w:val="both"/>
      </w:pPr>
      <w:r>
        <w:t>La première relève de l’AO GPID a permis de retenir 7 projets, dont 5 figurent parmi les 50 sites industriels les plus émetteurs de CO2 :</w:t>
      </w:r>
    </w:p>
    <w:p w:rsidR="00E85AA1" w:rsidRDefault="00E85AA1" w:rsidP="00464367">
      <w:pPr>
        <w:pBdr>
          <w:left w:val="single" w:sz="4" w:space="4" w:color="auto"/>
        </w:pBdr>
        <w:jc w:val="both"/>
      </w:pPr>
    </w:p>
    <w:p w:rsidR="00E85AA1" w:rsidRDefault="00E85AA1" w:rsidP="00464367">
      <w:pPr>
        <w:pStyle w:val="Paragraphedeliste"/>
        <w:numPr>
          <w:ilvl w:val="0"/>
          <w:numId w:val="8"/>
        </w:numPr>
        <w:pBdr>
          <w:left w:val="single" w:sz="4" w:space="4" w:color="auto"/>
        </w:pBdr>
        <w:ind w:left="1134" w:hanging="283"/>
        <w:jc w:val="both"/>
      </w:pPr>
      <w:r>
        <w:t>Aluminium Dunkerque (360 millions d'euros) ;</w:t>
      </w:r>
    </w:p>
    <w:p w:rsidR="00E85AA1" w:rsidRDefault="00E85AA1" w:rsidP="00464367">
      <w:pPr>
        <w:pStyle w:val="Paragraphedeliste"/>
        <w:numPr>
          <w:ilvl w:val="0"/>
          <w:numId w:val="8"/>
        </w:numPr>
        <w:pBdr>
          <w:left w:val="single" w:sz="4" w:space="4" w:color="auto"/>
        </w:pBdr>
        <w:ind w:left="1134" w:hanging="283"/>
        <w:jc w:val="both"/>
      </w:pPr>
      <w:r>
        <w:t>Vicat (331 millions d'euros) ;</w:t>
      </w:r>
    </w:p>
    <w:p w:rsidR="00E85AA1" w:rsidRDefault="00E85AA1" w:rsidP="00464367">
      <w:pPr>
        <w:pStyle w:val="Paragraphedeliste"/>
        <w:numPr>
          <w:ilvl w:val="0"/>
          <w:numId w:val="8"/>
        </w:numPr>
        <w:pBdr>
          <w:left w:val="single" w:sz="4" w:space="4" w:color="auto"/>
        </w:pBdr>
        <w:ind w:left="1134" w:hanging="283"/>
        <w:jc w:val="both"/>
      </w:pPr>
      <w:r>
        <w:t>Heidelberg Materials (416 millions d'euros) ;</w:t>
      </w:r>
    </w:p>
    <w:p w:rsidR="00E85AA1" w:rsidRDefault="00E85AA1" w:rsidP="00464367">
      <w:pPr>
        <w:pStyle w:val="Paragraphedeliste"/>
        <w:numPr>
          <w:ilvl w:val="0"/>
          <w:numId w:val="8"/>
        </w:numPr>
        <w:pBdr>
          <w:left w:val="single" w:sz="4" w:space="4" w:color="auto"/>
        </w:pBdr>
        <w:ind w:left="1134" w:hanging="283"/>
        <w:jc w:val="both"/>
      </w:pPr>
      <w:proofErr w:type="spellStart"/>
      <w:r>
        <w:t>Ineos</w:t>
      </w:r>
      <w:proofErr w:type="spellEnd"/>
      <w:r>
        <w:t xml:space="preserve"> </w:t>
      </w:r>
      <w:proofErr w:type="spellStart"/>
      <w:r>
        <w:t>Naptachimie</w:t>
      </w:r>
      <w:proofErr w:type="spellEnd"/>
      <w:r>
        <w:t xml:space="preserve"> (297 millions d'euros) ;</w:t>
      </w:r>
    </w:p>
    <w:p w:rsidR="00E85AA1" w:rsidRDefault="00E85AA1" w:rsidP="00464367">
      <w:pPr>
        <w:pStyle w:val="Paragraphedeliste"/>
        <w:numPr>
          <w:ilvl w:val="0"/>
          <w:numId w:val="8"/>
        </w:numPr>
        <w:pBdr>
          <w:left w:val="single" w:sz="4" w:space="4" w:color="auto"/>
        </w:pBdr>
        <w:ind w:left="1134" w:hanging="283"/>
        <w:jc w:val="both"/>
      </w:pPr>
      <w:r>
        <w:t>Holcim (170 millions d'euros) ;</w:t>
      </w:r>
    </w:p>
    <w:p w:rsidR="00E85AA1" w:rsidRDefault="00E85AA1" w:rsidP="00464367">
      <w:pPr>
        <w:pStyle w:val="Paragraphedeliste"/>
        <w:numPr>
          <w:ilvl w:val="0"/>
          <w:numId w:val="8"/>
        </w:numPr>
        <w:pBdr>
          <w:left w:val="single" w:sz="4" w:space="4" w:color="auto"/>
        </w:pBdr>
        <w:ind w:left="1134" w:hanging="283"/>
        <w:jc w:val="both"/>
      </w:pPr>
      <w:r>
        <w:t>Sont également soutenus les projets d'</w:t>
      </w:r>
      <w:proofErr w:type="spellStart"/>
      <w:r>
        <w:t>Eurolysine</w:t>
      </w:r>
      <w:proofErr w:type="spellEnd"/>
      <w:r>
        <w:t xml:space="preserve"> (21 millions d'euros) et </w:t>
      </w:r>
      <w:proofErr w:type="spellStart"/>
      <w:r>
        <w:t>Speciality</w:t>
      </w:r>
      <w:proofErr w:type="spellEnd"/>
      <w:r>
        <w:t xml:space="preserve"> </w:t>
      </w:r>
      <w:proofErr w:type="spellStart"/>
      <w:r>
        <w:t>operations</w:t>
      </w:r>
      <w:proofErr w:type="spellEnd"/>
      <w:r>
        <w:t xml:space="preserve"> France (31 millions d'euros).</w:t>
      </w:r>
    </w:p>
    <w:p w:rsidR="00E85AA1" w:rsidRDefault="00E85AA1" w:rsidP="00464367">
      <w:pPr>
        <w:pBdr>
          <w:left w:val="single" w:sz="4" w:space="4" w:color="auto"/>
        </w:pBdr>
        <w:jc w:val="both"/>
      </w:pPr>
    </w:p>
    <w:p w:rsidR="00E85AA1" w:rsidRDefault="00E85AA1" w:rsidP="00464367">
      <w:pPr>
        <w:pBdr>
          <w:left w:val="single" w:sz="4" w:space="4" w:color="auto"/>
        </w:pBdr>
        <w:jc w:val="both"/>
      </w:pPr>
      <w:r>
        <w:t>Ces projets concernent notamment :</w:t>
      </w:r>
    </w:p>
    <w:p w:rsidR="00E85AA1" w:rsidRDefault="00E85AA1" w:rsidP="00464367">
      <w:pPr>
        <w:pBdr>
          <w:left w:val="single" w:sz="4" w:space="4" w:color="auto"/>
        </w:pBdr>
        <w:jc w:val="both"/>
      </w:pPr>
    </w:p>
    <w:p w:rsidR="00E85AA1" w:rsidRDefault="00E85AA1" w:rsidP="00464367">
      <w:pPr>
        <w:pStyle w:val="Paragraphedeliste"/>
        <w:numPr>
          <w:ilvl w:val="0"/>
          <w:numId w:val="9"/>
        </w:numPr>
        <w:pBdr>
          <w:left w:val="single" w:sz="4" w:space="4" w:color="auto"/>
        </w:pBdr>
        <w:ind w:left="1134" w:hanging="283"/>
        <w:jc w:val="both"/>
      </w:pPr>
      <w:proofErr w:type="gramStart"/>
      <w:r>
        <w:t>l'électrification</w:t>
      </w:r>
      <w:proofErr w:type="gramEnd"/>
      <w:r>
        <w:t xml:space="preserve"> des procédés industriels ;</w:t>
      </w:r>
    </w:p>
    <w:p w:rsidR="00E85AA1" w:rsidRDefault="00E85AA1" w:rsidP="00464367">
      <w:pPr>
        <w:pStyle w:val="Paragraphedeliste"/>
        <w:numPr>
          <w:ilvl w:val="0"/>
          <w:numId w:val="9"/>
        </w:numPr>
        <w:pBdr>
          <w:left w:val="single" w:sz="4" w:space="4" w:color="auto"/>
        </w:pBdr>
        <w:ind w:left="1134" w:hanging="283"/>
        <w:jc w:val="both"/>
      </w:pPr>
      <w:proofErr w:type="gramStart"/>
      <w:r>
        <w:t>la</w:t>
      </w:r>
      <w:proofErr w:type="gramEnd"/>
      <w:r>
        <w:t xml:space="preserve"> modification du mix énergétique (augmentation de la part de combustibles alternatifs (CSR) et recours à la biomasse) ;</w:t>
      </w:r>
    </w:p>
    <w:p w:rsidR="00E85AA1" w:rsidRDefault="00E85AA1" w:rsidP="00464367">
      <w:pPr>
        <w:pStyle w:val="Paragraphedeliste"/>
        <w:numPr>
          <w:ilvl w:val="0"/>
          <w:numId w:val="9"/>
        </w:numPr>
        <w:pBdr>
          <w:left w:val="single" w:sz="4" w:space="4" w:color="auto"/>
        </w:pBdr>
        <w:ind w:left="1134" w:hanging="283"/>
        <w:jc w:val="both"/>
      </w:pPr>
      <w:proofErr w:type="gramStart"/>
      <w:r>
        <w:t>la</w:t>
      </w:r>
      <w:proofErr w:type="gramEnd"/>
      <w:r>
        <w:t xml:space="preserve"> modification du mix matière (réduction du taux de clinker dans le ciment par la production d’argiles calcinées) ;</w:t>
      </w:r>
    </w:p>
    <w:p w:rsidR="00001781" w:rsidRDefault="00E85AA1" w:rsidP="00464367">
      <w:pPr>
        <w:pStyle w:val="Paragraphedeliste"/>
        <w:numPr>
          <w:ilvl w:val="0"/>
          <w:numId w:val="9"/>
        </w:numPr>
        <w:pBdr>
          <w:left w:val="single" w:sz="4" w:space="4" w:color="auto"/>
        </w:pBdr>
        <w:ind w:left="1134" w:hanging="283"/>
        <w:jc w:val="both"/>
      </w:pPr>
      <w:proofErr w:type="gramStart"/>
      <w:r>
        <w:t>le</w:t>
      </w:r>
      <w:proofErr w:type="gramEnd"/>
      <w:r>
        <w:t xml:space="preserve"> captage, l'utilisation et le stockage du carbone (CCUS).</w:t>
      </w:r>
    </w:p>
    <w:p w:rsidR="00001781" w:rsidRDefault="00001781" w:rsidP="00464367">
      <w:pPr>
        <w:pBdr>
          <w:left w:val="single" w:sz="4" w:space="4" w:color="auto"/>
        </w:pBdr>
        <w:jc w:val="both"/>
      </w:pPr>
    </w:p>
    <w:p w:rsidR="00001781" w:rsidRDefault="006B52B9" w:rsidP="00464367">
      <w:pPr>
        <w:pBdr>
          <w:left w:val="single" w:sz="4" w:space="4" w:color="auto"/>
        </w:pBdr>
        <w:jc w:val="both"/>
        <w:rPr>
          <w:rStyle w:val="Lienhypertexte"/>
          <w:i/>
        </w:rPr>
      </w:pPr>
      <w:hyperlink r:id="rId19" w:history="1">
        <w:r w:rsidR="00001781" w:rsidRPr="009C2693">
          <w:rPr>
            <w:rStyle w:val="Lienhypertexte"/>
            <w:b/>
            <w:i/>
            <w:color w:val="auto"/>
          </w:rPr>
          <w:t>Arrêté du 23 février 2026</w:t>
        </w:r>
        <w:r w:rsidR="00001781" w:rsidRPr="009C2693">
          <w:rPr>
            <w:rStyle w:val="Lienhypertexte"/>
            <w:i/>
            <w:color w:val="auto"/>
          </w:rPr>
          <w:t xml:space="preserve"> relatif à l'approbation du cahier des charges de l'appel d'offres « Grands Projets Industriels de Décarbonation 2026 (AO GPID) »</w:t>
        </w:r>
        <w:r w:rsidR="00001781" w:rsidRPr="00001781">
          <w:rPr>
            <w:rStyle w:val="Lienhypertexte"/>
            <w:i/>
          </w:rPr>
          <w:t>.</w:t>
        </w:r>
      </w:hyperlink>
    </w:p>
    <w:p w:rsidR="009C2693" w:rsidRPr="009C2693" w:rsidRDefault="009C2693" w:rsidP="009C2693">
      <w:pPr>
        <w:jc w:val="both"/>
      </w:pPr>
    </w:p>
    <w:p w:rsidR="009C2693" w:rsidRPr="009C2693" w:rsidRDefault="009C2693" w:rsidP="009C2693">
      <w:pPr>
        <w:jc w:val="both"/>
      </w:pPr>
    </w:p>
    <w:p w:rsidR="009C2693" w:rsidRPr="009C2693" w:rsidRDefault="009C2693" w:rsidP="009C2693">
      <w:pPr>
        <w:jc w:val="both"/>
      </w:pPr>
    </w:p>
    <w:p w:rsidR="00001781" w:rsidRDefault="0025774C" w:rsidP="0025774C">
      <w:pPr>
        <w:pStyle w:val="Titre1"/>
      </w:pPr>
      <w:bookmarkStart w:id="7" w:name="_Toc231994022"/>
      <w:r>
        <w:lastRenderedPageBreak/>
        <w:t>Biogaz</w:t>
      </w:r>
      <w:bookmarkEnd w:id="7"/>
    </w:p>
    <w:p w:rsidR="0025774C" w:rsidRDefault="0025774C" w:rsidP="0025774C">
      <w:pPr>
        <w:pStyle w:val="Textebrut"/>
      </w:pPr>
      <w:r>
        <w:t xml:space="preserve">        </w:t>
      </w:r>
    </w:p>
    <w:p w:rsidR="0025774C" w:rsidRPr="00EB729C" w:rsidRDefault="0025774C" w:rsidP="00EB729C">
      <w:pPr>
        <w:pStyle w:val="Textebrut"/>
        <w:pBdr>
          <w:left w:val="single" w:sz="4" w:space="4" w:color="auto"/>
        </w:pBdr>
        <w:rPr>
          <w:b/>
        </w:rPr>
      </w:pPr>
      <w:r w:rsidRPr="00EB729C">
        <w:rPr>
          <w:b/>
        </w:rPr>
        <w:sym w:font="Wingdings" w:char="F0E8"/>
      </w:r>
      <w:r w:rsidRPr="00EB729C">
        <w:rPr>
          <w:b/>
        </w:rPr>
        <w:t xml:space="preserve"> </w:t>
      </w:r>
      <w:r w:rsidR="00EB729C" w:rsidRPr="00EB729C">
        <w:rPr>
          <w:b/>
        </w:rPr>
        <w:t>M</w:t>
      </w:r>
      <w:r w:rsidR="00EB729C" w:rsidRPr="00EB729C">
        <w:rPr>
          <w:b/>
        </w:rPr>
        <w:t>odification du cadre règlementaire relatif aux garanties d’origine de biogaz et aux certificats de</w:t>
      </w:r>
      <w:r w:rsidR="00EB729C">
        <w:rPr>
          <w:b/>
        </w:rPr>
        <w:t xml:space="preserve"> </w:t>
      </w:r>
      <w:r w:rsidR="00EB729C" w:rsidRPr="00EB729C">
        <w:rPr>
          <w:b/>
        </w:rPr>
        <w:t>production de biogaz.</w:t>
      </w:r>
    </w:p>
    <w:p w:rsidR="0025774C" w:rsidRDefault="0025774C" w:rsidP="00EB729C">
      <w:pPr>
        <w:pStyle w:val="Textebrut"/>
        <w:pBdr>
          <w:left w:val="single" w:sz="4" w:space="4" w:color="auto"/>
        </w:pBdr>
      </w:pPr>
    </w:p>
    <w:p w:rsidR="0025774C" w:rsidRPr="0025774C" w:rsidRDefault="0025774C" w:rsidP="00EB729C">
      <w:pPr>
        <w:pStyle w:val="Textebrut"/>
        <w:pBdr>
          <w:left w:val="single" w:sz="4" w:space="4" w:color="auto"/>
        </w:pBdr>
        <w:rPr>
          <w:i/>
        </w:rPr>
      </w:pPr>
      <w:hyperlink r:id="rId20" w:history="1">
        <w:r w:rsidRPr="0025774C">
          <w:rPr>
            <w:rStyle w:val="Lienhypertexte"/>
            <w:b/>
            <w:i/>
            <w:color w:val="auto"/>
          </w:rPr>
          <w:t>Décret n° 2026-400 du 22 mai 2026</w:t>
        </w:r>
        <w:r w:rsidRPr="0025774C">
          <w:rPr>
            <w:rStyle w:val="Lienhypertexte"/>
            <w:i/>
            <w:color w:val="auto"/>
          </w:rPr>
          <w:t xml:space="preserve"> portant diverses dispositions relatives au biogaz injecté dans les réseaux de gaz naturel.</w:t>
        </w:r>
      </w:hyperlink>
    </w:p>
    <w:p w:rsidR="00077DC6" w:rsidRDefault="00077DC6" w:rsidP="00077DC6">
      <w:pPr>
        <w:jc w:val="both"/>
      </w:pPr>
    </w:p>
    <w:p w:rsidR="00FE45DA" w:rsidRDefault="00FE45DA" w:rsidP="00077DC6">
      <w:pPr>
        <w:jc w:val="both"/>
      </w:pPr>
    </w:p>
    <w:p w:rsidR="00FE45DA" w:rsidRDefault="00FE45DA" w:rsidP="00077DC6">
      <w:pPr>
        <w:jc w:val="both"/>
      </w:pPr>
    </w:p>
    <w:p w:rsidR="00FE45DA" w:rsidRDefault="00FE45DA" w:rsidP="00FE45DA">
      <w:pPr>
        <w:pStyle w:val="Titre1"/>
      </w:pPr>
      <w:bookmarkStart w:id="8" w:name="_Toc231994023"/>
      <w:r>
        <w:t>C</w:t>
      </w:r>
      <w:r w:rsidR="00625BC8">
        <w:t>arburants</w:t>
      </w:r>
      <w:bookmarkEnd w:id="8"/>
    </w:p>
    <w:p w:rsidR="000E6286" w:rsidRDefault="000E6286" w:rsidP="000E6286">
      <w:pPr>
        <w:jc w:val="both"/>
      </w:pPr>
    </w:p>
    <w:p w:rsidR="0003252E" w:rsidRPr="0003252E" w:rsidRDefault="0003252E" w:rsidP="0003252E">
      <w:pPr>
        <w:pBdr>
          <w:left w:val="single" w:sz="4" w:space="4" w:color="auto"/>
        </w:pBdr>
        <w:jc w:val="both"/>
        <w:rPr>
          <w:b/>
        </w:rPr>
      </w:pPr>
      <w:r w:rsidRPr="0003252E">
        <w:rPr>
          <w:b/>
        </w:rPr>
        <w:sym w:font="Wingdings" w:char="F0E8"/>
      </w:r>
      <w:r w:rsidRPr="0003252E">
        <w:rPr>
          <w:b/>
        </w:rPr>
        <w:t xml:space="preserve"> Actualisation des caractéristiques du carburant dénommé ED95</w:t>
      </w:r>
    </w:p>
    <w:p w:rsidR="0003252E" w:rsidRDefault="0003252E" w:rsidP="0003252E">
      <w:pPr>
        <w:pBdr>
          <w:left w:val="single" w:sz="4" w:space="4" w:color="auto"/>
        </w:pBdr>
        <w:jc w:val="both"/>
      </w:pPr>
    </w:p>
    <w:p w:rsidR="00625BC8" w:rsidRPr="00625BC8" w:rsidRDefault="006B52B9" w:rsidP="0003252E">
      <w:pPr>
        <w:pStyle w:val="Textebrut"/>
        <w:pBdr>
          <w:left w:val="single" w:sz="4" w:space="4" w:color="auto"/>
        </w:pBdr>
        <w:jc w:val="both"/>
        <w:rPr>
          <w:i/>
        </w:rPr>
      </w:pPr>
      <w:hyperlink r:id="rId21" w:history="1">
        <w:r w:rsidR="00625BC8" w:rsidRPr="00625BC8">
          <w:rPr>
            <w:rStyle w:val="Lienhypertexte"/>
            <w:b/>
            <w:i/>
            <w:color w:val="auto"/>
          </w:rPr>
          <w:t>Arrêté du 21 avril 2026</w:t>
        </w:r>
        <w:r w:rsidR="00625BC8" w:rsidRPr="00625BC8">
          <w:rPr>
            <w:rStyle w:val="Lienhypertexte"/>
            <w:i/>
            <w:color w:val="auto"/>
          </w:rPr>
          <w:t xml:space="preserve"> modifiant l'arrêté du 29 mars 2016 relatif aux caractéristiques du carburant ED95.</w:t>
        </w:r>
      </w:hyperlink>
    </w:p>
    <w:p w:rsidR="007977E8" w:rsidRDefault="00625BC8" w:rsidP="00625BC8">
      <w:pPr>
        <w:pStyle w:val="Textebrut"/>
      </w:pPr>
      <w:r>
        <w:t xml:space="preserve">    </w:t>
      </w:r>
    </w:p>
    <w:p w:rsidR="007977E8" w:rsidRDefault="007977E8" w:rsidP="00625BC8">
      <w:pPr>
        <w:pStyle w:val="Textebrut"/>
      </w:pPr>
    </w:p>
    <w:p w:rsidR="007977E8" w:rsidRDefault="007977E8" w:rsidP="00625BC8">
      <w:pPr>
        <w:pStyle w:val="Textebrut"/>
      </w:pPr>
    </w:p>
    <w:p w:rsidR="00625BC8" w:rsidRDefault="007977E8" w:rsidP="007977E8">
      <w:pPr>
        <w:pStyle w:val="Titre1"/>
      </w:pPr>
      <w:bookmarkStart w:id="9" w:name="_Toc231994024"/>
      <w:r>
        <w:t>Certification professionnelle</w:t>
      </w:r>
      <w:bookmarkEnd w:id="9"/>
      <w:r w:rsidR="00625BC8">
        <w:t xml:space="preserve">    </w:t>
      </w:r>
    </w:p>
    <w:p w:rsidR="00625BC8" w:rsidRDefault="00625BC8" w:rsidP="000E6286">
      <w:pPr>
        <w:jc w:val="both"/>
      </w:pPr>
    </w:p>
    <w:p w:rsidR="007977E8" w:rsidRPr="007977E8" w:rsidRDefault="007977E8" w:rsidP="007977E8">
      <w:pPr>
        <w:pBdr>
          <w:left w:val="single" w:sz="4" w:space="4" w:color="auto"/>
        </w:pBdr>
        <w:jc w:val="both"/>
        <w:rPr>
          <w:b/>
        </w:rPr>
      </w:pPr>
      <w:r w:rsidRPr="007977E8">
        <w:rPr>
          <w:b/>
        </w:rPr>
        <w:sym w:font="Wingdings" w:char="F0E8"/>
      </w:r>
      <w:r w:rsidRPr="007977E8">
        <w:rPr>
          <w:b/>
        </w:rPr>
        <w:t xml:space="preserve"> Révision du titre professionnel de conducteur d’appareils de l’industrie de la chimie</w:t>
      </w:r>
    </w:p>
    <w:p w:rsidR="007977E8" w:rsidRDefault="007977E8" w:rsidP="007977E8">
      <w:pPr>
        <w:pBdr>
          <w:left w:val="single" w:sz="4" w:space="4" w:color="auto"/>
        </w:pBdr>
        <w:jc w:val="both"/>
      </w:pPr>
    </w:p>
    <w:p w:rsidR="007977E8" w:rsidRPr="009C2693" w:rsidRDefault="006B52B9" w:rsidP="009C2693">
      <w:pPr>
        <w:pBdr>
          <w:left w:val="single" w:sz="4" w:space="4" w:color="auto"/>
        </w:pBdr>
        <w:jc w:val="both"/>
        <w:rPr>
          <w:i/>
        </w:rPr>
      </w:pPr>
      <w:hyperlink r:id="rId22" w:history="1">
        <w:r w:rsidR="007977E8" w:rsidRPr="007977E8">
          <w:rPr>
            <w:rStyle w:val="Lienhypertexte"/>
            <w:b/>
            <w:i/>
            <w:color w:val="auto"/>
          </w:rPr>
          <w:t>Arrêté du 13 mai 2026</w:t>
        </w:r>
        <w:r w:rsidR="007977E8" w:rsidRPr="007977E8">
          <w:rPr>
            <w:rStyle w:val="Lienhypertexte"/>
            <w:i/>
            <w:color w:val="auto"/>
          </w:rPr>
          <w:t xml:space="preserve"> relatif au titre professionnel de conducteur d'appareils de l'industrie de la chimie.</w:t>
        </w:r>
      </w:hyperlink>
    </w:p>
    <w:p w:rsidR="007977E8" w:rsidRDefault="007977E8" w:rsidP="007977E8">
      <w:pPr>
        <w:jc w:val="both"/>
      </w:pPr>
    </w:p>
    <w:p w:rsidR="007977E8" w:rsidRDefault="007977E8" w:rsidP="000E6286">
      <w:pPr>
        <w:jc w:val="both"/>
      </w:pPr>
    </w:p>
    <w:p w:rsidR="007977E8" w:rsidRDefault="007977E8" w:rsidP="000E6286">
      <w:pPr>
        <w:jc w:val="both"/>
      </w:pPr>
    </w:p>
    <w:p w:rsidR="00EF29B5" w:rsidRPr="00EF29B5" w:rsidRDefault="00EF29B5" w:rsidP="00EF29B5">
      <w:pPr>
        <w:pStyle w:val="Titre1"/>
      </w:pPr>
      <w:bookmarkStart w:id="10" w:name="_Toc231994025"/>
      <w:r w:rsidRPr="00EF29B5">
        <w:t>Certificats d’économies d’énergie</w:t>
      </w:r>
      <w:bookmarkEnd w:id="10"/>
    </w:p>
    <w:p w:rsidR="00EF29B5" w:rsidRDefault="00EF29B5" w:rsidP="00EF29B5">
      <w:pPr>
        <w:jc w:val="both"/>
      </w:pPr>
    </w:p>
    <w:p w:rsidR="00F66EBB" w:rsidRPr="00F66EBB" w:rsidRDefault="00F66EBB" w:rsidP="00B91A7E">
      <w:pPr>
        <w:pBdr>
          <w:left w:val="single" w:sz="4" w:space="4" w:color="auto"/>
        </w:pBdr>
        <w:jc w:val="both"/>
        <w:rPr>
          <w:b/>
        </w:rPr>
      </w:pPr>
      <w:r w:rsidRPr="00F66EBB">
        <w:rPr>
          <w:b/>
        </w:rPr>
        <w:sym w:font="Wingdings" w:char="F0E8"/>
      </w:r>
      <w:r w:rsidRPr="00F66EBB">
        <w:rPr>
          <w:b/>
        </w:rPr>
        <w:t xml:space="preserve"> Création d’un programme d’accompagnement </w:t>
      </w:r>
      <w:r>
        <w:rPr>
          <w:b/>
        </w:rPr>
        <w:t>« </w:t>
      </w:r>
      <w:r w:rsidRPr="00F66EBB">
        <w:rPr>
          <w:b/>
        </w:rPr>
        <w:t>FEEBAT 3</w:t>
      </w:r>
      <w:r>
        <w:rPr>
          <w:b/>
        </w:rPr>
        <w:t> »</w:t>
      </w:r>
      <w:r w:rsidRPr="00F66EBB">
        <w:rPr>
          <w:b/>
        </w:rPr>
        <w:t xml:space="preserve"> en faveur des économies d’énergie</w:t>
      </w:r>
    </w:p>
    <w:p w:rsidR="00F66EBB" w:rsidRDefault="00F66EBB" w:rsidP="00B91A7E">
      <w:pPr>
        <w:pBdr>
          <w:left w:val="single" w:sz="4" w:space="4" w:color="auto"/>
        </w:pBdr>
        <w:jc w:val="both"/>
      </w:pPr>
    </w:p>
    <w:p w:rsidR="00F66EBB" w:rsidRDefault="00F66EBB" w:rsidP="00B91A7E">
      <w:pPr>
        <w:pBdr>
          <w:left w:val="single" w:sz="4" w:space="4" w:color="auto"/>
        </w:pBdr>
        <w:jc w:val="both"/>
      </w:pPr>
      <w:r>
        <w:t>Le programme d’information PRO-FOR-16 « FEEBAT 3 », décrit en annexe, est éligible au dispositif des certificats d’économies d’énergie dans les conditions définies par le présent arrêté pour les contributions versées à compter de l’entrée en vigueur du présent arrêté et pour une durée de trois ans à compter de la date de publication du présent arrêté.</w:t>
      </w:r>
    </w:p>
    <w:p w:rsidR="00F66EBB" w:rsidRDefault="00F66EBB" w:rsidP="00B91A7E">
      <w:pPr>
        <w:pBdr>
          <w:left w:val="single" w:sz="4" w:space="4" w:color="auto"/>
        </w:pBdr>
        <w:jc w:val="both"/>
      </w:pPr>
    </w:p>
    <w:p w:rsidR="00B91A7E" w:rsidRDefault="00DE351D" w:rsidP="00B91A7E">
      <w:pPr>
        <w:pBdr>
          <w:left w:val="single" w:sz="4" w:space="4" w:color="auto"/>
        </w:pBdr>
        <w:jc w:val="both"/>
      </w:pPr>
      <w:r>
        <w:t>Le programme FEEBAT 3 (Formation des professionnels du bâtiment aux économies d’énergie), porté par l’Association technique énergie environnement (ATEE) et l’Agence qualité construction (AQC), prend la suite des</w:t>
      </w:r>
      <w:r w:rsidR="00B91A7E">
        <w:t xml:space="preserve"> </w:t>
      </w:r>
      <w:r>
        <w:t xml:space="preserve">actions réalisées dans le cadre du programme PRO-FOR-14 « FEEBAT 2 ». </w:t>
      </w:r>
    </w:p>
    <w:p w:rsidR="00B91A7E" w:rsidRDefault="00B91A7E" w:rsidP="00B91A7E">
      <w:pPr>
        <w:pBdr>
          <w:left w:val="single" w:sz="4" w:space="4" w:color="auto"/>
        </w:pBdr>
        <w:jc w:val="both"/>
      </w:pPr>
    </w:p>
    <w:p w:rsidR="00DE351D" w:rsidRDefault="00DE351D" w:rsidP="00B91A7E">
      <w:pPr>
        <w:pBdr>
          <w:left w:val="single" w:sz="4" w:space="4" w:color="auto"/>
        </w:pBdr>
        <w:jc w:val="both"/>
      </w:pPr>
      <w:r>
        <w:t>Il vise à accompagner la montée en</w:t>
      </w:r>
      <w:r w:rsidR="00B91A7E">
        <w:t xml:space="preserve"> </w:t>
      </w:r>
      <w:r>
        <w:t>compétence des professionnels du bâtiment, de la construction et du cadre de vie dans le domaine de l’efficacité</w:t>
      </w:r>
      <w:r w:rsidR="00B91A7E">
        <w:t xml:space="preserve"> </w:t>
      </w:r>
      <w:r>
        <w:t>énergétique autour de trois axes :</w:t>
      </w:r>
    </w:p>
    <w:p w:rsidR="00DE351D" w:rsidRDefault="00DE351D" w:rsidP="00B91A7E">
      <w:pPr>
        <w:pStyle w:val="Paragraphedeliste"/>
        <w:numPr>
          <w:ilvl w:val="0"/>
          <w:numId w:val="10"/>
        </w:numPr>
        <w:pBdr>
          <w:left w:val="single" w:sz="4" w:space="4" w:color="auto"/>
        </w:pBdr>
        <w:ind w:left="1134" w:hanging="283"/>
        <w:jc w:val="both"/>
      </w:pPr>
      <w:r>
        <w:t>Contribuer au renforcement d’un socle de connaissances et d’une offre de plateaux pédagogiques dans le</w:t>
      </w:r>
      <w:r w:rsidR="00B91A7E">
        <w:t xml:space="preserve"> </w:t>
      </w:r>
      <w:r>
        <w:t>domaine de la rénovation énergétique des bâtiments, dans le cadre de la formation initiale des futurs</w:t>
      </w:r>
      <w:r w:rsidR="00B91A7E">
        <w:t xml:space="preserve"> </w:t>
      </w:r>
      <w:r>
        <w:t>professionnels du bâtiment (axe porté par l’AQC) ;</w:t>
      </w:r>
    </w:p>
    <w:p w:rsidR="00DE351D" w:rsidRDefault="00DE351D" w:rsidP="00B91A7E">
      <w:pPr>
        <w:pStyle w:val="Paragraphedeliste"/>
        <w:numPr>
          <w:ilvl w:val="0"/>
          <w:numId w:val="10"/>
        </w:numPr>
        <w:pBdr>
          <w:left w:val="single" w:sz="4" w:space="4" w:color="auto"/>
        </w:pBdr>
        <w:ind w:left="1134" w:hanging="283"/>
        <w:jc w:val="both"/>
      </w:pPr>
      <w:r>
        <w:lastRenderedPageBreak/>
        <w:t>Poursuivre l’appui aux formations continues des professionnels du bâtiment et de la maîtrise d’œuvre en</w:t>
      </w:r>
      <w:r w:rsidR="00B91A7E">
        <w:t xml:space="preserve"> </w:t>
      </w:r>
      <w:r>
        <w:t>matière de rénovation énergétique des bâtiments (axe porté par l’ATEE) ;</w:t>
      </w:r>
    </w:p>
    <w:p w:rsidR="00DE351D" w:rsidRDefault="00DE351D" w:rsidP="00B91A7E">
      <w:pPr>
        <w:pStyle w:val="Paragraphedeliste"/>
        <w:numPr>
          <w:ilvl w:val="0"/>
          <w:numId w:val="10"/>
        </w:numPr>
        <w:pBdr>
          <w:left w:val="single" w:sz="4" w:space="4" w:color="auto"/>
        </w:pBdr>
        <w:ind w:left="1134" w:hanging="283"/>
        <w:jc w:val="both"/>
      </w:pPr>
      <w:r>
        <w:t>Favoriser l’intégration approfondie des différents axes du programme dans l’écosystème national de la</w:t>
      </w:r>
      <w:r w:rsidR="00B91A7E">
        <w:t xml:space="preserve"> </w:t>
      </w:r>
      <w:r>
        <w:t xml:space="preserve">formation (axe </w:t>
      </w:r>
      <w:proofErr w:type="spellStart"/>
      <w:r>
        <w:t>co-porté</w:t>
      </w:r>
      <w:proofErr w:type="spellEnd"/>
      <w:r>
        <w:t xml:space="preserve"> par l’AQC et l’ATEE).</w:t>
      </w:r>
    </w:p>
    <w:p w:rsidR="00DE351D" w:rsidRPr="00EF29B5" w:rsidRDefault="00DE351D" w:rsidP="00B91A7E">
      <w:pPr>
        <w:pBdr>
          <w:left w:val="single" w:sz="4" w:space="4" w:color="auto"/>
        </w:pBdr>
        <w:jc w:val="both"/>
      </w:pPr>
    </w:p>
    <w:p w:rsidR="00F66EBB" w:rsidRPr="00F66EBB" w:rsidRDefault="006B52B9" w:rsidP="00B91A7E">
      <w:pPr>
        <w:pStyle w:val="Textebrut"/>
        <w:pBdr>
          <w:left w:val="single" w:sz="4" w:space="4" w:color="auto"/>
        </w:pBdr>
        <w:jc w:val="both"/>
        <w:rPr>
          <w:i/>
        </w:rPr>
      </w:pPr>
      <w:hyperlink r:id="rId23" w:history="1">
        <w:r w:rsidR="00F66EBB" w:rsidRPr="00F66EBB">
          <w:rPr>
            <w:rStyle w:val="Lienhypertexte"/>
            <w:b/>
            <w:i/>
            <w:color w:val="auto"/>
          </w:rPr>
          <w:t>Arrêté du 7 mai 2026</w:t>
        </w:r>
        <w:r w:rsidR="00F66EBB" w:rsidRPr="00F66EBB">
          <w:rPr>
            <w:rStyle w:val="Lienhypertexte"/>
            <w:i/>
            <w:color w:val="auto"/>
          </w:rPr>
          <w:t xml:space="preserve"> portant création du programme FEEBAT 3 dans le cadre du dispositif des certificats d'économies d'énergie.</w:t>
        </w:r>
      </w:hyperlink>
    </w:p>
    <w:p w:rsidR="00F66EBB" w:rsidRDefault="00F66EBB" w:rsidP="00F66EBB">
      <w:pPr>
        <w:pStyle w:val="Textebrut"/>
      </w:pPr>
    </w:p>
    <w:p w:rsidR="00F66EBB" w:rsidRDefault="00F66EBB" w:rsidP="00F66EBB">
      <w:pPr>
        <w:pStyle w:val="Textebrut"/>
      </w:pPr>
    </w:p>
    <w:p w:rsidR="008302C7" w:rsidRDefault="008302C7" w:rsidP="00F66EBB">
      <w:pPr>
        <w:pStyle w:val="Textebrut"/>
      </w:pPr>
    </w:p>
    <w:p w:rsidR="008302C7" w:rsidRPr="008302C7" w:rsidRDefault="008302C7" w:rsidP="008302C7">
      <w:pPr>
        <w:pStyle w:val="Textebrut"/>
        <w:pBdr>
          <w:left w:val="single" w:sz="4" w:space="4" w:color="auto"/>
        </w:pBdr>
        <w:jc w:val="both"/>
        <w:rPr>
          <w:b/>
        </w:rPr>
      </w:pPr>
      <w:r w:rsidRPr="008302C7">
        <w:rPr>
          <w:b/>
        </w:rPr>
        <w:sym w:font="Wingdings" w:char="F0E8"/>
      </w:r>
      <w:r w:rsidRPr="008302C7">
        <w:rPr>
          <w:b/>
        </w:rPr>
        <w:t xml:space="preserve"> Création du programme d’accompagnement « PROFEEL 3 » en faveur des économies d’énergie</w:t>
      </w:r>
    </w:p>
    <w:p w:rsidR="008302C7" w:rsidRDefault="008302C7" w:rsidP="008302C7">
      <w:pPr>
        <w:pStyle w:val="Textebrut"/>
        <w:pBdr>
          <w:left w:val="single" w:sz="4" w:space="4" w:color="auto"/>
        </w:pBdr>
        <w:jc w:val="both"/>
      </w:pPr>
    </w:p>
    <w:p w:rsidR="008302C7" w:rsidRDefault="008302C7" w:rsidP="008302C7">
      <w:pPr>
        <w:pStyle w:val="Textebrut"/>
        <w:pBdr>
          <w:left w:val="single" w:sz="4" w:space="4" w:color="auto"/>
        </w:pBdr>
        <w:jc w:val="both"/>
      </w:pPr>
      <w:r>
        <w:t xml:space="preserve">Le programme </w:t>
      </w:r>
      <w:proofErr w:type="spellStart"/>
      <w:r>
        <w:t>co-porté</w:t>
      </w:r>
      <w:proofErr w:type="spellEnd"/>
      <w:r>
        <w:t xml:space="preserve"> par le Centre scientifique et technique du bâtiment (CSTB) et par l’Agence qualité construction (AQC), prend la suite des actions réalisées dans le cadre du programme PRO-INNO-60 « PROFEEL 2 ». Il s’articule autour des axes suivants :</w:t>
      </w:r>
    </w:p>
    <w:p w:rsidR="008302C7" w:rsidRDefault="008302C7" w:rsidP="008302C7">
      <w:pPr>
        <w:pStyle w:val="Textebrut"/>
        <w:pBdr>
          <w:left w:val="single" w:sz="4" w:space="4" w:color="auto"/>
        </w:pBdr>
        <w:jc w:val="both"/>
      </w:pPr>
    </w:p>
    <w:p w:rsidR="008302C7" w:rsidRDefault="008302C7" w:rsidP="008302C7">
      <w:pPr>
        <w:pStyle w:val="Textebrut"/>
        <w:numPr>
          <w:ilvl w:val="0"/>
          <w:numId w:val="12"/>
        </w:numPr>
        <w:pBdr>
          <w:left w:val="single" w:sz="4" w:space="4" w:color="auto"/>
        </w:pBdr>
        <w:ind w:left="1134" w:hanging="283"/>
        <w:jc w:val="both"/>
      </w:pPr>
      <w:proofErr w:type="gramStart"/>
      <w:r>
        <w:t>faciliter</w:t>
      </w:r>
      <w:proofErr w:type="gramEnd"/>
      <w:r>
        <w:t xml:space="preserve"> et sécuriser les pratiques professionnelles et l’émergence de solutions crédibles et réplicables au travers de boites à outils ;</w:t>
      </w:r>
    </w:p>
    <w:p w:rsidR="008302C7" w:rsidRDefault="008302C7" w:rsidP="008302C7">
      <w:pPr>
        <w:pStyle w:val="Textebrut"/>
        <w:numPr>
          <w:ilvl w:val="0"/>
          <w:numId w:val="12"/>
        </w:numPr>
        <w:pBdr>
          <w:left w:val="single" w:sz="4" w:space="4" w:color="auto"/>
        </w:pBdr>
        <w:ind w:left="1134" w:hanging="283"/>
        <w:jc w:val="both"/>
      </w:pPr>
      <w:proofErr w:type="gramStart"/>
      <w:r>
        <w:t>garantir</w:t>
      </w:r>
      <w:proofErr w:type="gramEnd"/>
      <w:r>
        <w:t xml:space="preserve"> l’atteinte des performances énergétiques recherchées ;</w:t>
      </w:r>
    </w:p>
    <w:p w:rsidR="008302C7" w:rsidRDefault="008302C7" w:rsidP="008302C7">
      <w:pPr>
        <w:pStyle w:val="Textebrut"/>
        <w:numPr>
          <w:ilvl w:val="0"/>
          <w:numId w:val="12"/>
        </w:numPr>
        <w:pBdr>
          <w:left w:val="single" w:sz="4" w:space="4" w:color="auto"/>
        </w:pBdr>
        <w:ind w:left="1134" w:hanging="283"/>
        <w:jc w:val="both"/>
      </w:pPr>
      <w:proofErr w:type="gramStart"/>
      <w:r>
        <w:t>soutenir</w:t>
      </w:r>
      <w:proofErr w:type="gramEnd"/>
      <w:r>
        <w:t xml:space="preserve"> les dynamiques ultramarines pour des bâtiments économes et résilients.</w:t>
      </w:r>
    </w:p>
    <w:p w:rsidR="008302C7" w:rsidRDefault="008302C7" w:rsidP="008302C7">
      <w:pPr>
        <w:pStyle w:val="Textebrut"/>
        <w:pBdr>
          <w:left w:val="single" w:sz="4" w:space="4" w:color="auto"/>
        </w:pBdr>
        <w:jc w:val="both"/>
      </w:pPr>
    </w:p>
    <w:p w:rsidR="00F66EBB" w:rsidRPr="008302C7" w:rsidRDefault="006B52B9" w:rsidP="008302C7">
      <w:pPr>
        <w:pStyle w:val="Textebrut"/>
        <w:pBdr>
          <w:left w:val="single" w:sz="4" w:space="4" w:color="auto"/>
        </w:pBdr>
        <w:jc w:val="both"/>
        <w:rPr>
          <w:i/>
        </w:rPr>
      </w:pPr>
      <w:hyperlink r:id="rId24" w:history="1">
        <w:r w:rsidR="00F66EBB" w:rsidRPr="008302C7">
          <w:rPr>
            <w:rStyle w:val="Lienhypertexte"/>
            <w:b/>
            <w:i/>
            <w:color w:val="auto"/>
          </w:rPr>
          <w:t>Arrêté du 7 mai 2026</w:t>
        </w:r>
        <w:r w:rsidR="00F66EBB" w:rsidRPr="008302C7">
          <w:rPr>
            <w:rStyle w:val="Lienhypertexte"/>
            <w:i/>
            <w:color w:val="auto"/>
          </w:rPr>
          <w:t xml:space="preserve"> portant création du programme PROFEEL 3 dans le cadre du dispositif des certificats d'économies d'énergie</w:t>
        </w:r>
        <w:r w:rsidR="008302C7" w:rsidRPr="008302C7">
          <w:rPr>
            <w:rStyle w:val="Lienhypertexte"/>
            <w:i/>
            <w:color w:val="auto"/>
          </w:rPr>
          <w:t>.</w:t>
        </w:r>
      </w:hyperlink>
    </w:p>
    <w:p w:rsidR="008302C7" w:rsidRDefault="008302C7" w:rsidP="00F66EBB">
      <w:pPr>
        <w:pStyle w:val="Textebrut"/>
      </w:pPr>
    </w:p>
    <w:p w:rsidR="00F66EBB" w:rsidRDefault="00F66EBB" w:rsidP="00F66EBB">
      <w:pPr>
        <w:pStyle w:val="Textebrut"/>
      </w:pPr>
    </w:p>
    <w:p w:rsidR="00322B46" w:rsidRDefault="00322B46" w:rsidP="00F66EBB">
      <w:pPr>
        <w:pStyle w:val="Textebrut"/>
      </w:pPr>
    </w:p>
    <w:p w:rsidR="00DE35F0" w:rsidRPr="004518F1" w:rsidRDefault="004518F1" w:rsidP="004518F1">
      <w:pPr>
        <w:pStyle w:val="Textebrut"/>
        <w:pBdr>
          <w:left w:val="single" w:sz="4" w:space="4" w:color="auto"/>
        </w:pBdr>
        <w:jc w:val="both"/>
        <w:rPr>
          <w:b/>
        </w:rPr>
      </w:pPr>
      <w:r w:rsidRPr="004518F1">
        <w:rPr>
          <w:b/>
        </w:rPr>
        <w:sym w:font="Wingdings" w:char="F0E8"/>
      </w:r>
      <w:r w:rsidRPr="004518F1">
        <w:rPr>
          <w:b/>
        </w:rPr>
        <w:t xml:space="preserve"> Fixation des frais de tenue de compte du registre national des certificats d’économies d’énergie à compter du 1er juin 2026</w:t>
      </w:r>
    </w:p>
    <w:p w:rsidR="004518F1" w:rsidRDefault="004518F1" w:rsidP="004518F1">
      <w:pPr>
        <w:pStyle w:val="Textebrut"/>
        <w:pBdr>
          <w:left w:val="single" w:sz="4" w:space="4" w:color="auto"/>
        </w:pBdr>
        <w:jc w:val="both"/>
      </w:pPr>
    </w:p>
    <w:p w:rsidR="00F66EBB" w:rsidRPr="00DE35F0" w:rsidRDefault="006B52B9" w:rsidP="004518F1">
      <w:pPr>
        <w:pStyle w:val="Textebrut"/>
        <w:pBdr>
          <w:left w:val="single" w:sz="4" w:space="4" w:color="auto"/>
        </w:pBdr>
        <w:jc w:val="both"/>
        <w:rPr>
          <w:i/>
        </w:rPr>
      </w:pPr>
      <w:hyperlink r:id="rId25" w:history="1">
        <w:r w:rsidR="00F66EBB" w:rsidRPr="00DE35F0">
          <w:rPr>
            <w:rStyle w:val="Lienhypertexte"/>
            <w:b/>
            <w:i/>
            <w:color w:val="auto"/>
          </w:rPr>
          <w:t>Arrêté du 11 mai 2026</w:t>
        </w:r>
        <w:r w:rsidR="00F66EBB" w:rsidRPr="00DE35F0">
          <w:rPr>
            <w:rStyle w:val="Lienhypertexte"/>
            <w:i/>
            <w:color w:val="auto"/>
          </w:rPr>
          <w:t xml:space="preserve"> fixant le montant des frais de tenue de compte du registre national des certificats d'économies d'énergie</w:t>
        </w:r>
        <w:r w:rsidR="00DE35F0" w:rsidRPr="00DE35F0">
          <w:rPr>
            <w:rStyle w:val="Lienhypertexte"/>
            <w:i/>
            <w:color w:val="auto"/>
          </w:rPr>
          <w:t>.</w:t>
        </w:r>
      </w:hyperlink>
    </w:p>
    <w:p w:rsidR="00F66EBB" w:rsidRDefault="00F66EBB" w:rsidP="00F66EBB">
      <w:pPr>
        <w:pStyle w:val="Textebrut"/>
      </w:pPr>
    </w:p>
    <w:p w:rsidR="000F3FF7" w:rsidRDefault="000F3FF7" w:rsidP="00F66EBB">
      <w:pPr>
        <w:pStyle w:val="Textebrut"/>
      </w:pPr>
    </w:p>
    <w:p w:rsidR="006774E9" w:rsidRDefault="006774E9" w:rsidP="00F66EBB">
      <w:pPr>
        <w:pStyle w:val="Textebrut"/>
      </w:pPr>
    </w:p>
    <w:p w:rsidR="006774E9" w:rsidRPr="006774E9" w:rsidRDefault="006774E9" w:rsidP="006774E9">
      <w:pPr>
        <w:pStyle w:val="Textebrut"/>
        <w:pBdr>
          <w:left w:val="single" w:sz="4" w:space="4" w:color="auto"/>
        </w:pBdr>
        <w:jc w:val="both"/>
        <w:rPr>
          <w:b/>
        </w:rPr>
      </w:pPr>
      <w:r>
        <w:sym w:font="Wingdings" w:char="F0E8"/>
      </w:r>
      <w:r>
        <w:t xml:space="preserve"> </w:t>
      </w:r>
      <w:r w:rsidRPr="006774E9">
        <w:rPr>
          <w:b/>
        </w:rPr>
        <w:t>Révision des fiches d’opérations standardisées TRA-EQ-114, TRA-EQ-117, TRA-EQ-128</w:t>
      </w:r>
      <w:r>
        <w:rPr>
          <w:b/>
        </w:rPr>
        <w:t xml:space="preserve"> </w:t>
      </w:r>
      <w:r w:rsidRPr="006774E9">
        <w:rPr>
          <w:b/>
        </w:rPr>
        <w:t>et TRA-EQ-129 et les niveaux de bonification associés à certains forfaits</w:t>
      </w:r>
    </w:p>
    <w:p w:rsidR="006774E9" w:rsidRDefault="006774E9" w:rsidP="006774E9">
      <w:pPr>
        <w:pStyle w:val="Textebrut"/>
        <w:pBdr>
          <w:left w:val="single" w:sz="4" w:space="4" w:color="auto"/>
        </w:pBdr>
      </w:pPr>
    </w:p>
    <w:p w:rsidR="00CF2A59" w:rsidRPr="006774E9" w:rsidRDefault="006B52B9" w:rsidP="006774E9">
      <w:pPr>
        <w:pStyle w:val="Textebrut"/>
        <w:pBdr>
          <w:left w:val="single" w:sz="4" w:space="4" w:color="auto"/>
        </w:pBdr>
        <w:rPr>
          <w:i/>
        </w:rPr>
      </w:pPr>
      <w:hyperlink r:id="rId26" w:history="1">
        <w:r w:rsidR="00CF2A59" w:rsidRPr="006774E9">
          <w:rPr>
            <w:rStyle w:val="Lienhypertexte"/>
            <w:b/>
            <w:i/>
            <w:color w:val="auto"/>
          </w:rPr>
          <w:t>Arrêté du 18 mai 2026</w:t>
        </w:r>
        <w:r w:rsidR="00CF2A59" w:rsidRPr="006774E9">
          <w:rPr>
            <w:rStyle w:val="Lienhypertexte"/>
            <w:i/>
            <w:color w:val="auto"/>
          </w:rPr>
          <w:t xml:space="preserve"> modifiant les fiches d'opérations standardisées pour l'acquisition et le rétrofit de véhicules électriques (TRA-EQ-114, TRA-EQ-117, TRA-EQ-128 et TRA-EQ-129) et les niveaux de bonification associés.</w:t>
        </w:r>
      </w:hyperlink>
    </w:p>
    <w:p w:rsidR="00CF2A59" w:rsidRDefault="00CF2A59" w:rsidP="00CF2A59">
      <w:pPr>
        <w:pStyle w:val="Textebrut"/>
      </w:pPr>
    </w:p>
    <w:p w:rsidR="000C19B5" w:rsidRDefault="000C19B5" w:rsidP="00CF2A59">
      <w:pPr>
        <w:pStyle w:val="Textebrut"/>
      </w:pPr>
    </w:p>
    <w:p w:rsidR="000C19B5" w:rsidRDefault="000C19B5" w:rsidP="00CF2A59">
      <w:pPr>
        <w:pStyle w:val="Textebrut"/>
      </w:pPr>
    </w:p>
    <w:p w:rsidR="000C19B5" w:rsidRPr="000C19B5" w:rsidRDefault="000C19B5" w:rsidP="000C19B5">
      <w:pPr>
        <w:pStyle w:val="Textebrut"/>
        <w:pBdr>
          <w:left w:val="single" w:sz="4" w:space="4" w:color="auto"/>
        </w:pBdr>
        <w:jc w:val="both"/>
        <w:rPr>
          <w:b/>
        </w:rPr>
      </w:pPr>
      <w:r w:rsidRPr="000C19B5">
        <w:rPr>
          <w:b/>
        </w:rPr>
        <w:sym w:font="Wingdings" w:char="F0E8"/>
      </w:r>
      <w:r w:rsidRPr="000C19B5">
        <w:rPr>
          <w:b/>
        </w:rPr>
        <w:t xml:space="preserve"> R</w:t>
      </w:r>
      <w:r w:rsidRPr="000C19B5">
        <w:rPr>
          <w:b/>
        </w:rPr>
        <w:t>évis</w:t>
      </w:r>
      <w:r w:rsidRPr="000C19B5">
        <w:rPr>
          <w:b/>
        </w:rPr>
        <w:t>ion de</w:t>
      </w:r>
      <w:r w:rsidRPr="000C19B5">
        <w:rPr>
          <w:b/>
        </w:rPr>
        <w:t xml:space="preserve"> la fiche d’opération standardisée IND-UT-137 « Système de pompe(s) à chaleur en rehausse de température de chaleur fatale récupérée »</w:t>
      </w:r>
    </w:p>
    <w:p w:rsidR="00CF2A59" w:rsidRDefault="00CF2A59" w:rsidP="000C19B5">
      <w:pPr>
        <w:pStyle w:val="Textebrut"/>
        <w:pBdr>
          <w:left w:val="single" w:sz="4" w:space="4" w:color="auto"/>
        </w:pBdr>
        <w:jc w:val="both"/>
      </w:pPr>
      <w:r>
        <w:t xml:space="preserve"> </w:t>
      </w:r>
    </w:p>
    <w:p w:rsidR="000C19B5" w:rsidRDefault="000C19B5" w:rsidP="000C19B5">
      <w:pPr>
        <w:pStyle w:val="Textebrut"/>
        <w:pBdr>
          <w:left w:val="single" w:sz="4" w:space="4" w:color="auto"/>
        </w:pBdr>
        <w:jc w:val="both"/>
      </w:pPr>
      <w:r>
        <w:t>L</w:t>
      </w:r>
      <w:r>
        <w:t xml:space="preserve">e présent arrêté modifie l’arrêté du 22 décembre 2014 définissant les opérations standardisées d’économies d’énergie </w:t>
      </w:r>
      <w:r w:rsidRPr="000C19B5">
        <w:rPr>
          <w:b/>
        </w:rPr>
        <w:t>et</w:t>
      </w:r>
      <w:r>
        <w:t xml:space="preserve"> l’arrêté du 28 septembre 2021 </w:t>
      </w:r>
      <w:r w:rsidRPr="000C19B5">
        <w:rPr>
          <w:b/>
        </w:rPr>
        <w:t>relatif aux contrôles</w:t>
      </w:r>
      <w:r>
        <w:t xml:space="preserve"> dans le cadre du dispositif des certificats d’économies d’énergie.</w:t>
      </w:r>
    </w:p>
    <w:p w:rsidR="000C19B5" w:rsidRDefault="000C19B5" w:rsidP="000C19B5">
      <w:pPr>
        <w:pStyle w:val="Textebrut"/>
        <w:pBdr>
          <w:left w:val="single" w:sz="4" w:space="4" w:color="auto"/>
        </w:pBdr>
        <w:jc w:val="both"/>
      </w:pPr>
    </w:p>
    <w:p w:rsidR="000C19B5" w:rsidRPr="000C19B5" w:rsidRDefault="000C19B5" w:rsidP="000C19B5">
      <w:pPr>
        <w:pStyle w:val="Textebrut"/>
        <w:pBdr>
          <w:left w:val="single" w:sz="4" w:space="4" w:color="auto"/>
        </w:pBdr>
        <w:jc w:val="both"/>
        <w:rPr>
          <w:i/>
        </w:rPr>
      </w:pPr>
      <w:hyperlink r:id="rId27" w:history="1">
        <w:r w:rsidRPr="000C19B5">
          <w:rPr>
            <w:rStyle w:val="Lienhypertexte"/>
            <w:b/>
            <w:i/>
            <w:color w:val="auto"/>
          </w:rPr>
          <w:t xml:space="preserve">Arrêté du 23 mai 2026 </w:t>
        </w:r>
        <w:r w:rsidRPr="000C19B5">
          <w:rPr>
            <w:rStyle w:val="Lienhypertexte"/>
            <w:i/>
            <w:color w:val="auto"/>
          </w:rPr>
          <w:t>modifiant l'arrêté du 22 décembre 2014 définissant les opérations standardisées d'économies d'énergie et l'arrêté du 28 septembre 2021 relatif aux contrôles dans le cadre du dispositif des certificats d'économies d'énergie.</w:t>
        </w:r>
      </w:hyperlink>
    </w:p>
    <w:p w:rsidR="000C19B5" w:rsidRDefault="000C19B5" w:rsidP="000C19B5">
      <w:pPr>
        <w:pStyle w:val="Textebrut"/>
      </w:pPr>
    </w:p>
    <w:p w:rsidR="00CF2A59" w:rsidRDefault="00CF2A59" w:rsidP="00CF2A59">
      <w:pPr>
        <w:pStyle w:val="Textebrut"/>
      </w:pPr>
    </w:p>
    <w:p w:rsidR="009C2693" w:rsidRDefault="009C2693" w:rsidP="00CF2A59">
      <w:pPr>
        <w:pStyle w:val="Textebrut"/>
      </w:pPr>
    </w:p>
    <w:p w:rsidR="00615956" w:rsidRPr="00566F3D" w:rsidRDefault="00566F3D" w:rsidP="00566F3D">
      <w:pPr>
        <w:pStyle w:val="Textebrut"/>
        <w:pBdr>
          <w:left w:val="single" w:sz="4" w:space="4" w:color="auto"/>
        </w:pBdr>
        <w:jc w:val="both"/>
        <w:rPr>
          <w:b/>
        </w:rPr>
      </w:pPr>
      <w:r w:rsidRPr="00566F3D">
        <w:rPr>
          <w:b/>
        </w:rPr>
        <w:sym w:font="Wingdings" w:char="F0E8"/>
      </w:r>
      <w:r w:rsidRPr="00566F3D">
        <w:rPr>
          <w:b/>
        </w:rPr>
        <w:t xml:space="preserve"> A</w:t>
      </w:r>
      <w:r w:rsidRPr="00566F3D">
        <w:rPr>
          <w:b/>
        </w:rPr>
        <w:t>jout</w:t>
      </w:r>
      <w:r w:rsidRPr="00566F3D">
        <w:rPr>
          <w:b/>
        </w:rPr>
        <w:t xml:space="preserve"> d’</w:t>
      </w:r>
      <w:r w:rsidRPr="00566F3D">
        <w:rPr>
          <w:b/>
        </w:rPr>
        <w:t>un critère relatif à la détention de l’agrément en matière de qualité et de</w:t>
      </w:r>
      <w:r>
        <w:rPr>
          <w:b/>
        </w:rPr>
        <w:t xml:space="preserve"> </w:t>
      </w:r>
      <w:r w:rsidRPr="00566F3D">
        <w:rPr>
          <w:b/>
        </w:rPr>
        <w:t>résilience industrielle pour bénéficier de la bonification applicable aux fiches d’opérations standardisées BAR-TH171 et BAR-TH-172</w:t>
      </w:r>
    </w:p>
    <w:p w:rsidR="00566F3D" w:rsidRDefault="00566F3D" w:rsidP="00566F3D">
      <w:pPr>
        <w:pStyle w:val="Textebrut"/>
        <w:pBdr>
          <w:left w:val="single" w:sz="4" w:space="4" w:color="auto"/>
        </w:pBdr>
        <w:jc w:val="both"/>
      </w:pPr>
    </w:p>
    <w:p w:rsidR="00566F3D" w:rsidRDefault="00566F3D" w:rsidP="00566F3D">
      <w:pPr>
        <w:pStyle w:val="Textebrut"/>
        <w:pBdr>
          <w:left w:val="single" w:sz="4" w:space="4" w:color="auto"/>
        </w:pBdr>
        <w:jc w:val="both"/>
      </w:pPr>
      <w:r>
        <w:t>L</w:t>
      </w:r>
      <w:r>
        <w:t>e présent arrêté vise à ajouter un critère relatif à la détention de l’agrément en matière de qualité et de</w:t>
      </w:r>
      <w:r>
        <w:t xml:space="preserve"> </w:t>
      </w:r>
      <w:r>
        <w:t>résilience industrielle pour bénéficier de la bonification applicable aux fiches d’opérations standardisées BAR-TH171 et BAR-TH-172.</w:t>
      </w:r>
    </w:p>
    <w:p w:rsidR="00566F3D" w:rsidRDefault="00566F3D" w:rsidP="00566F3D">
      <w:pPr>
        <w:pStyle w:val="Textebrut"/>
        <w:pBdr>
          <w:left w:val="single" w:sz="4" w:space="4" w:color="auto"/>
        </w:pBdr>
        <w:jc w:val="both"/>
      </w:pPr>
    </w:p>
    <w:p w:rsidR="00566F3D" w:rsidRPr="00566F3D" w:rsidRDefault="00566F3D" w:rsidP="00566F3D">
      <w:pPr>
        <w:pStyle w:val="Textebrut"/>
        <w:pBdr>
          <w:left w:val="single" w:sz="4" w:space="4" w:color="auto"/>
        </w:pBdr>
        <w:jc w:val="both"/>
        <w:rPr>
          <w:i/>
        </w:rPr>
      </w:pPr>
      <w:hyperlink r:id="rId28" w:history="1">
        <w:r w:rsidRPr="00566F3D">
          <w:rPr>
            <w:rStyle w:val="Lienhypertexte"/>
            <w:b/>
            <w:i/>
            <w:color w:val="auto"/>
          </w:rPr>
          <w:t>Arrêté du 29 mai 2026</w:t>
        </w:r>
        <w:r w:rsidRPr="00566F3D">
          <w:rPr>
            <w:rStyle w:val="Lienhypertexte"/>
            <w:i/>
            <w:color w:val="auto"/>
          </w:rPr>
          <w:t xml:space="preserve"> modifiant l'arrêté du 22 décembre 2014 définissant les opérations standardisées d'économies d'énergie, l'arrêté du 29 décembre 2014 relatif aux modalités d'application du dispositif des certificats d'économies d'énergie et l'arrêté du 28 septembre 2021 relatif aux contrôles dans le cadre du dispositif des certificats d'économies d'énergie.</w:t>
        </w:r>
      </w:hyperlink>
    </w:p>
    <w:p w:rsidR="00566F3D" w:rsidRDefault="00566F3D" w:rsidP="00A14DB6">
      <w:pPr>
        <w:pStyle w:val="Textebrut"/>
      </w:pPr>
    </w:p>
    <w:p w:rsidR="00566F3D" w:rsidRDefault="00566F3D" w:rsidP="00A14DB6">
      <w:pPr>
        <w:pStyle w:val="Textebrut"/>
      </w:pPr>
    </w:p>
    <w:p w:rsidR="00566F3D" w:rsidRDefault="00566F3D" w:rsidP="00A14DB6">
      <w:pPr>
        <w:pStyle w:val="Textebrut"/>
      </w:pPr>
    </w:p>
    <w:p w:rsidR="000F69E6" w:rsidRPr="00EF29B5" w:rsidRDefault="000F69E6" w:rsidP="000F69E6">
      <w:pPr>
        <w:pStyle w:val="Titre1"/>
      </w:pPr>
      <w:bookmarkStart w:id="11" w:name="_Toc231994026"/>
      <w:r w:rsidRPr="00EF29B5">
        <w:t>C</w:t>
      </w:r>
      <w:r>
        <w:t>ode de l’environnement</w:t>
      </w:r>
      <w:bookmarkEnd w:id="11"/>
    </w:p>
    <w:p w:rsidR="00A14DB6" w:rsidRDefault="00A14DB6" w:rsidP="004668E0"/>
    <w:p w:rsidR="000F69E6" w:rsidRPr="005C32FA" w:rsidRDefault="000F69E6" w:rsidP="005C32FA">
      <w:pPr>
        <w:pBdr>
          <w:left w:val="single" w:sz="4" w:space="4" w:color="auto"/>
        </w:pBdr>
        <w:jc w:val="both"/>
        <w:rPr>
          <w:b/>
        </w:rPr>
      </w:pPr>
      <w:r w:rsidRPr="005C32FA">
        <w:rPr>
          <w:b/>
        </w:rPr>
        <w:sym w:font="Wingdings" w:char="F0E8"/>
      </w:r>
      <w:r w:rsidRPr="005C32FA">
        <w:rPr>
          <w:b/>
        </w:rPr>
        <w:t xml:space="preserve"> </w:t>
      </w:r>
      <w:r w:rsidR="005C32FA" w:rsidRPr="005C32FA">
        <w:rPr>
          <w:b/>
        </w:rPr>
        <w:t>Modification de l’article R. 521-59 du code de l’environnement pour le secteur des solvants</w:t>
      </w:r>
    </w:p>
    <w:p w:rsidR="000F69E6" w:rsidRDefault="000F69E6" w:rsidP="005C32FA">
      <w:pPr>
        <w:pBdr>
          <w:left w:val="single" w:sz="4" w:space="4" w:color="auto"/>
        </w:pBdr>
        <w:jc w:val="both"/>
      </w:pPr>
    </w:p>
    <w:p w:rsidR="000F69E6" w:rsidRPr="000F69E6" w:rsidRDefault="006B52B9" w:rsidP="005C32FA">
      <w:pPr>
        <w:pBdr>
          <w:left w:val="single" w:sz="4" w:space="4" w:color="auto"/>
        </w:pBdr>
        <w:jc w:val="both"/>
        <w:rPr>
          <w:i/>
        </w:rPr>
      </w:pPr>
      <w:hyperlink r:id="rId29" w:history="1">
        <w:r w:rsidR="000F69E6" w:rsidRPr="000F69E6">
          <w:rPr>
            <w:rStyle w:val="Lienhypertexte"/>
            <w:i/>
            <w:color w:val="auto"/>
          </w:rPr>
          <w:t xml:space="preserve"> </w:t>
        </w:r>
        <w:r w:rsidR="000F69E6" w:rsidRPr="000F69E6">
          <w:rPr>
            <w:rStyle w:val="Lienhypertexte"/>
            <w:b/>
            <w:i/>
            <w:color w:val="auto"/>
          </w:rPr>
          <w:t>Arrêté du 23 avril 2026</w:t>
        </w:r>
        <w:r w:rsidR="000F69E6" w:rsidRPr="000F69E6">
          <w:rPr>
            <w:rStyle w:val="Lienhypertexte"/>
            <w:i/>
            <w:color w:val="auto"/>
          </w:rPr>
          <w:t xml:space="preserve"> modifiant l'arrêté du 23 mai 2011 pris en application de l'article R. 521-59 du code de l'environnement pour le secteur des solvants.</w:t>
        </w:r>
      </w:hyperlink>
    </w:p>
    <w:p w:rsidR="000F69E6" w:rsidRDefault="000F69E6" w:rsidP="000F69E6"/>
    <w:p w:rsidR="000F69E6" w:rsidRDefault="000F69E6" w:rsidP="000F69E6"/>
    <w:p w:rsidR="00B90A8B" w:rsidRDefault="00B90A8B" w:rsidP="00B90A8B"/>
    <w:p w:rsidR="00F03FF1" w:rsidRDefault="00F47C8C" w:rsidP="00F47C8C">
      <w:pPr>
        <w:pStyle w:val="Titre1"/>
      </w:pPr>
      <w:bookmarkStart w:id="12" w:name="_Toc231994027"/>
      <w:r>
        <w:t>Performance énergétique des bâtiments</w:t>
      </w:r>
      <w:bookmarkEnd w:id="12"/>
    </w:p>
    <w:p w:rsidR="00F47C8C" w:rsidRDefault="00F47C8C" w:rsidP="00F47C8C"/>
    <w:p w:rsidR="00F47C8C" w:rsidRDefault="00F47C8C" w:rsidP="00EA4CBB">
      <w:pPr>
        <w:pBdr>
          <w:left w:val="single" w:sz="4" w:space="4" w:color="auto"/>
        </w:pBdr>
        <w:jc w:val="both"/>
      </w:pPr>
      <w:r>
        <w:sym w:font="Wingdings" w:char="F0E8"/>
      </w:r>
      <w:r>
        <w:t xml:space="preserve"> </w:t>
      </w:r>
      <w:r w:rsidR="00EA4CBB" w:rsidRPr="00EA4CBB">
        <w:rPr>
          <w:b/>
        </w:rPr>
        <w:t>Rectificatif au Journal officiel de la République française no 68 du 20 mars 2026, texte n°26</w:t>
      </w:r>
    </w:p>
    <w:p w:rsidR="00F47C8C" w:rsidRDefault="00F47C8C" w:rsidP="00EA4CBB">
      <w:pPr>
        <w:pBdr>
          <w:left w:val="single" w:sz="4" w:space="4" w:color="auto"/>
        </w:pBdr>
        <w:jc w:val="both"/>
      </w:pPr>
    </w:p>
    <w:p w:rsidR="00F47C8C" w:rsidRPr="00F47C8C" w:rsidRDefault="006B52B9" w:rsidP="00EA4CBB">
      <w:pPr>
        <w:pBdr>
          <w:left w:val="single" w:sz="4" w:space="4" w:color="auto"/>
        </w:pBdr>
        <w:jc w:val="both"/>
        <w:rPr>
          <w:i/>
        </w:rPr>
      </w:pPr>
      <w:hyperlink r:id="rId30" w:history="1">
        <w:r w:rsidR="00F47C8C" w:rsidRPr="00F47C8C">
          <w:rPr>
            <w:rStyle w:val="Lienhypertexte"/>
            <w:b/>
            <w:i/>
            <w:color w:val="auto"/>
          </w:rPr>
          <w:t>Décret n° 2026-200 du 18 mars 2026</w:t>
        </w:r>
        <w:r w:rsidR="00F47C8C" w:rsidRPr="00F47C8C">
          <w:rPr>
            <w:rStyle w:val="Lienhypertexte"/>
            <w:i/>
            <w:color w:val="auto"/>
          </w:rPr>
          <w:t xml:space="preserve"> modifiant les exigences de performance énergétique et environnementale des constructions de bâtiment en France métropolitaine (rectificatif).</w:t>
        </w:r>
      </w:hyperlink>
    </w:p>
    <w:p w:rsidR="00F47C8C" w:rsidRDefault="00F47C8C" w:rsidP="00F47C8C"/>
    <w:p w:rsidR="00F47C8C" w:rsidRDefault="00F47C8C" w:rsidP="00F47C8C"/>
    <w:p w:rsidR="009C2693" w:rsidRDefault="009C2693" w:rsidP="00F47C8C"/>
    <w:p w:rsidR="008F2C9E" w:rsidRDefault="008F2C9E" w:rsidP="00670367">
      <w:pPr>
        <w:pStyle w:val="Titre1"/>
      </w:pPr>
      <w:bookmarkStart w:id="13" w:name="_Toc231994028"/>
      <w:r>
        <w:t>Projet de décarbonation de l’industrie</w:t>
      </w:r>
      <w:bookmarkEnd w:id="13"/>
    </w:p>
    <w:p w:rsidR="008F2C9E" w:rsidRDefault="008F2C9E" w:rsidP="00F47C8C"/>
    <w:p w:rsidR="00670367" w:rsidRPr="00670367" w:rsidRDefault="00670367" w:rsidP="00670367">
      <w:pPr>
        <w:pBdr>
          <w:left w:val="single" w:sz="4" w:space="4" w:color="auto"/>
        </w:pBdr>
        <w:jc w:val="both"/>
        <w:rPr>
          <w:b/>
        </w:rPr>
      </w:pPr>
      <w:r w:rsidRPr="00670367">
        <w:rPr>
          <w:b/>
        </w:rPr>
        <w:sym w:font="Wingdings" w:char="F0E8"/>
      </w:r>
      <w:r w:rsidRPr="00670367">
        <w:rPr>
          <w:b/>
        </w:rPr>
        <w:t xml:space="preserve"> Projet de décarbonation de l’industrie dans le Grand Ouest par captage du CO2 depuis trois sites industriels</w:t>
      </w:r>
    </w:p>
    <w:p w:rsidR="00670367" w:rsidRDefault="00670367" w:rsidP="00670367">
      <w:pPr>
        <w:pBdr>
          <w:left w:val="single" w:sz="4" w:space="4" w:color="auto"/>
        </w:pBdr>
        <w:jc w:val="both"/>
      </w:pPr>
    </w:p>
    <w:p w:rsidR="00670367" w:rsidRDefault="00670367" w:rsidP="00670367">
      <w:pPr>
        <w:pBdr>
          <w:left w:val="single" w:sz="4" w:space="4" w:color="auto"/>
        </w:pBdr>
        <w:jc w:val="both"/>
      </w:pPr>
      <w:r>
        <w:t xml:space="preserve">M. Marc NAVEZ est désigné garant chargé de veiller à la bonne information et à la participation du public jusqu’à l’ouverture des enquêtes publiques relatives aux différentes composantes du projet de décarbonation de l’industrie dans le Grand Ouest par captage du CO2 depuis trois sites industriels, son </w:t>
      </w:r>
      <w:r>
        <w:lastRenderedPageBreak/>
        <w:t>transport par canalisation, sa liquéfaction et son chargement sur terminal méthanier à Montoir-de-Bretagne sur le port de Nantes-</w:t>
      </w:r>
      <w:proofErr w:type="spellStart"/>
      <w:r>
        <w:t>SaintNazaire</w:t>
      </w:r>
      <w:proofErr w:type="spellEnd"/>
      <w:r>
        <w:t xml:space="preserve"> en vue de son stockage géologique permanent. […]</w:t>
      </w:r>
    </w:p>
    <w:p w:rsidR="00670367" w:rsidRDefault="00670367" w:rsidP="00670367">
      <w:pPr>
        <w:pBdr>
          <w:left w:val="single" w:sz="4" w:space="4" w:color="auto"/>
        </w:pBdr>
        <w:jc w:val="both"/>
      </w:pPr>
    </w:p>
    <w:p w:rsidR="00670367" w:rsidRPr="00670367" w:rsidRDefault="006B52B9" w:rsidP="00670367">
      <w:pPr>
        <w:pBdr>
          <w:left w:val="single" w:sz="4" w:space="4" w:color="auto"/>
        </w:pBdr>
        <w:jc w:val="both"/>
        <w:rPr>
          <w:i/>
        </w:rPr>
      </w:pPr>
      <w:hyperlink r:id="rId31" w:history="1">
        <w:r w:rsidR="00670367" w:rsidRPr="00670367">
          <w:rPr>
            <w:rStyle w:val="Lienhypertexte"/>
            <w:b/>
            <w:i/>
            <w:color w:val="auto"/>
          </w:rPr>
          <w:t xml:space="preserve">Décision n° 2026/42/GOCO2/4 du 6 mai 2026 </w:t>
        </w:r>
        <w:r w:rsidR="00670367" w:rsidRPr="00670367">
          <w:rPr>
            <w:rStyle w:val="Lienhypertexte"/>
            <w:i/>
            <w:color w:val="auto"/>
          </w:rPr>
          <w:t>portant désignation du garant de la concertation continue relative au projet de décarbonation de l'industrie dans le Grand Ouest par captage du CO2 depuis trois sites industriels, son transport par canalisation, sa liquéfaction et son chargement sur terminal méthanier à Montoir-de-Bretagne sur le port de Nantes-Saint-Nazaire en vue de son stockage géologique permanent.</w:t>
        </w:r>
      </w:hyperlink>
    </w:p>
    <w:p w:rsidR="00670367" w:rsidRDefault="00670367" w:rsidP="00670367">
      <w:pPr>
        <w:jc w:val="both"/>
      </w:pPr>
    </w:p>
    <w:p w:rsidR="00670367" w:rsidRDefault="00670367" w:rsidP="00F47C8C"/>
    <w:p w:rsidR="009C2693" w:rsidRDefault="009C2693" w:rsidP="00F47C8C">
      <w:bookmarkStart w:id="14" w:name="_GoBack"/>
      <w:bookmarkEnd w:id="14"/>
    </w:p>
    <w:p w:rsidR="00697A68" w:rsidRDefault="00697A68" w:rsidP="00697A68">
      <w:pPr>
        <w:pStyle w:val="Titre1"/>
      </w:pPr>
      <w:bookmarkStart w:id="15" w:name="_Toc231994029"/>
      <w:r>
        <w:t>Réseaux d’électricité</w:t>
      </w:r>
      <w:bookmarkEnd w:id="15"/>
    </w:p>
    <w:p w:rsidR="00F47C8C" w:rsidRDefault="00F47C8C" w:rsidP="00F47C8C"/>
    <w:p w:rsidR="00697A68" w:rsidRPr="008320C0" w:rsidRDefault="00697A68" w:rsidP="008320C0">
      <w:pPr>
        <w:pBdr>
          <w:left w:val="single" w:sz="4" w:space="4" w:color="auto"/>
        </w:pBdr>
        <w:jc w:val="both"/>
        <w:rPr>
          <w:b/>
        </w:rPr>
      </w:pPr>
      <w:r w:rsidRPr="008320C0">
        <w:rPr>
          <w:b/>
        </w:rPr>
        <w:sym w:font="Wingdings" w:char="F0E8"/>
      </w:r>
      <w:r w:rsidRPr="008320C0">
        <w:rPr>
          <w:b/>
        </w:rPr>
        <w:t xml:space="preserve"> </w:t>
      </w:r>
      <w:r w:rsidR="008320C0" w:rsidRPr="008320C0">
        <w:rPr>
          <w:b/>
        </w:rPr>
        <w:t>Possibilité d’un raccordement en piquage sur le réseau HTB3 afin d’accélérer le raccordement</w:t>
      </w:r>
      <w:r w:rsidR="008320C0">
        <w:rPr>
          <w:b/>
        </w:rPr>
        <w:t xml:space="preserve"> </w:t>
      </w:r>
      <w:r w:rsidR="008320C0" w:rsidRPr="008320C0">
        <w:rPr>
          <w:b/>
        </w:rPr>
        <w:t>des installations de consommation de forte puissance</w:t>
      </w:r>
    </w:p>
    <w:p w:rsidR="00697A68" w:rsidRDefault="00697A68" w:rsidP="008320C0">
      <w:pPr>
        <w:pBdr>
          <w:left w:val="single" w:sz="4" w:space="4" w:color="auto"/>
        </w:pBdr>
        <w:jc w:val="both"/>
      </w:pPr>
    </w:p>
    <w:p w:rsidR="00A57BA4" w:rsidRDefault="003F320E" w:rsidP="008320C0">
      <w:pPr>
        <w:pBdr>
          <w:left w:val="single" w:sz="4" w:space="4" w:color="auto"/>
        </w:pBdr>
        <w:jc w:val="both"/>
      </w:pPr>
      <w:r>
        <w:t xml:space="preserve">Cet arrêté ouvre la possibilité d’un raccordement en piquage sur le réseau HTB3 </w:t>
      </w:r>
      <w:r w:rsidRPr="00A57BA4">
        <w:rPr>
          <w:b/>
        </w:rPr>
        <w:t>afin d’accélérer le</w:t>
      </w:r>
      <w:r w:rsidR="00A57BA4" w:rsidRPr="00A57BA4">
        <w:rPr>
          <w:b/>
        </w:rPr>
        <w:t xml:space="preserve"> </w:t>
      </w:r>
      <w:r w:rsidRPr="00A57BA4">
        <w:rPr>
          <w:b/>
        </w:rPr>
        <w:t>raccordement des installations de consommation de forte puissance</w:t>
      </w:r>
      <w:r>
        <w:t>, lorsque ce raccordement ne compromet pas la</w:t>
      </w:r>
      <w:r w:rsidR="00A57BA4">
        <w:t xml:space="preserve"> </w:t>
      </w:r>
      <w:r>
        <w:t xml:space="preserve">sécurité d’exploitation du réseau. </w:t>
      </w:r>
    </w:p>
    <w:p w:rsidR="00A57BA4" w:rsidRDefault="00A57BA4" w:rsidP="008320C0">
      <w:pPr>
        <w:pBdr>
          <w:left w:val="single" w:sz="4" w:space="4" w:color="auto"/>
        </w:pBdr>
        <w:jc w:val="both"/>
      </w:pPr>
    </w:p>
    <w:p w:rsidR="003F320E" w:rsidRDefault="003F320E" w:rsidP="008320C0">
      <w:pPr>
        <w:pBdr>
          <w:left w:val="single" w:sz="4" w:space="4" w:color="auto"/>
        </w:pBdr>
        <w:jc w:val="both"/>
      </w:pPr>
      <w:r>
        <w:t>Il modifie l’article 107 de l’arrêté du 9 juin 2020 relatif aux prescriptions</w:t>
      </w:r>
      <w:r w:rsidR="00A57BA4">
        <w:t xml:space="preserve"> </w:t>
      </w:r>
      <w:r>
        <w:t>techniques de conception et de fonctionnement pour le raccordement aux réseaux d’électricité. Cette modification</w:t>
      </w:r>
      <w:r w:rsidR="00A57BA4">
        <w:t xml:space="preserve"> </w:t>
      </w:r>
      <w:r>
        <w:t xml:space="preserve">vise à </w:t>
      </w:r>
      <w:r w:rsidR="00A57BA4">
        <w:t>p</w:t>
      </w:r>
      <w:r>
        <w:t>ermettre les raccordements en piquage sur les liaisons relevant du domaine de tension HTB3, à titre</w:t>
      </w:r>
      <w:r w:rsidR="00A57BA4">
        <w:t xml:space="preserve"> </w:t>
      </w:r>
      <w:r>
        <w:t>provisoire uniquement et afin d’accélérer le raccordement des installations de consommation de forte puissance.</w:t>
      </w:r>
    </w:p>
    <w:p w:rsidR="00A57BA4" w:rsidRDefault="00A57BA4" w:rsidP="008320C0">
      <w:pPr>
        <w:pBdr>
          <w:left w:val="single" w:sz="4" w:space="4" w:color="auto"/>
        </w:pBdr>
        <w:jc w:val="both"/>
      </w:pPr>
    </w:p>
    <w:p w:rsidR="003F320E" w:rsidRDefault="003F320E" w:rsidP="008320C0">
      <w:pPr>
        <w:pBdr>
          <w:left w:val="single" w:sz="4" w:space="4" w:color="auto"/>
        </w:pBdr>
        <w:jc w:val="both"/>
      </w:pPr>
      <w:r>
        <w:t>Cette possibilité est strictement encadrée et n’est offerte que lorsque le gestionnaire du réseau public de transport</w:t>
      </w:r>
      <w:r w:rsidR="00A57BA4">
        <w:t xml:space="preserve"> </w:t>
      </w:r>
      <w:r>
        <w:t>d’électricité constate que ces raccordements ne compromettent ni la sécurité, ni le bon fonctionnement du réseau.</w:t>
      </w:r>
    </w:p>
    <w:p w:rsidR="003F320E" w:rsidRDefault="003F320E" w:rsidP="008320C0">
      <w:pPr>
        <w:pBdr>
          <w:left w:val="single" w:sz="4" w:space="4" w:color="auto"/>
        </w:pBdr>
      </w:pPr>
    </w:p>
    <w:p w:rsidR="00697A68" w:rsidRPr="00697A68" w:rsidRDefault="006B52B9" w:rsidP="008320C0">
      <w:pPr>
        <w:pBdr>
          <w:left w:val="single" w:sz="4" w:space="4" w:color="auto"/>
        </w:pBdr>
        <w:jc w:val="both"/>
        <w:rPr>
          <w:i/>
        </w:rPr>
      </w:pPr>
      <w:hyperlink r:id="rId32" w:history="1">
        <w:r w:rsidR="00697A68" w:rsidRPr="008320C0">
          <w:rPr>
            <w:rStyle w:val="Lienhypertexte"/>
            <w:b/>
            <w:i/>
            <w:color w:val="auto"/>
          </w:rPr>
          <w:t>Arrêté du 29 avril 2026</w:t>
        </w:r>
        <w:r w:rsidR="00697A68" w:rsidRPr="00697A68">
          <w:rPr>
            <w:rStyle w:val="Lienhypertexte"/>
            <w:i/>
            <w:color w:val="auto"/>
          </w:rPr>
          <w:t xml:space="preserve"> modifiant l'arrêté du 9 juin 2020 relatif aux prescriptions techniques de conception et de fonctionnement pour le raccordement aux réseaux d'électricité.</w:t>
        </w:r>
      </w:hyperlink>
    </w:p>
    <w:p w:rsidR="00697A68" w:rsidRDefault="00697A68" w:rsidP="00697A68"/>
    <w:p w:rsidR="00FB35C4" w:rsidRDefault="00FB35C4" w:rsidP="00697A68"/>
    <w:p w:rsidR="009C2693" w:rsidRDefault="009C2693" w:rsidP="00697A68"/>
    <w:p w:rsidR="00FB35C4" w:rsidRDefault="00522E3B" w:rsidP="00522E3B">
      <w:pPr>
        <w:pStyle w:val="Titre1"/>
      </w:pPr>
      <w:bookmarkStart w:id="16" w:name="_Toc231994030"/>
      <w:r>
        <w:t xml:space="preserve">Small </w:t>
      </w:r>
      <w:proofErr w:type="spellStart"/>
      <w:r>
        <w:t>Modular</w:t>
      </w:r>
      <w:proofErr w:type="spellEnd"/>
      <w:r>
        <w:t xml:space="preserve"> </w:t>
      </w:r>
      <w:proofErr w:type="spellStart"/>
      <w:r>
        <w:t>Reactor</w:t>
      </w:r>
      <w:bookmarkEnd w:id="16"/>
      <w:proofErr w:type="spellEnd"/>
    </w:p>
    <w:p w:rsidR="00522E3B" w:rsidRDefault="00522E3B" w:rsidP="00522E3B"/>
    <w:p w:rsidR="000340D8" w:rsidRPr="00EF617C" w:rsidRDefault="000340D8" w:rsidP="00EF617C">
      <w:pPr>
        <w:pBdr>
          <w:left w:val="single" w:sz="4" w:space="4" w:color="auto"/>
        </w:pBdr>
        <w:jc w:val="both"/>
        <w:rPr>
          <w:b/>
        </w:rPr>
      </w:pPr>
      <w:r w:rsidRPr="00EF617C">
        <w:rPr>
          <w:b/>
        </w:rPr>
        <w:sym w:font="Wingdings" w:char="F0E8"/>
      </w:r>
      <w:r w:rsidRPr="00EF617C">
        <w:rPr>
          <w:b/>
        </w:rPr>
        <w:t xml:space="preserve"> </w:t>
      </w:r>
      <w:r w:rsidR="00EF617C" w:rsidRPr="00EF617C">
        <w:rPr>
          <w:b/>
        </w:rPr>
        <w:t>Projet de création d’un réacteur nucléaire (SMR) dédié à la production de chaleur et de son raccordement au réseau de chaleur</w:t>
      </w:r>
    </w:p>
    <w:p w:rsidR="000340D8" w:rsidRDefault="000340D8" w:rsidP="00EF617C">
      <w:pPr>
        <w:pBdr>
          <w:left w:val="single" w:sz="4" w:space="4" w:color="auto"/>
        </w:pBdr>
        <w:jc w:val="both"/>
      </w:pPr>
    </w:p>
    <w:p w:rsidR="00EF617C" w:rsidRDefault="00EF617C" w:rsidP="00EF617C">
      <w:pPr>
        <w:pBdr>
          <w:left w:val="single" w:sz="4" w:space="4" w:color="auto"/>
        </w:pBdr>
        <w:jc w:val="both"/>
      </w:pPr>
      <w:r>
        <w:t>M. Jacques FINETTI et M. Jean-Michel FOURNIAU sont désignés garants de la concertation préalable relative au projet de création d’un réacteur nucléaire (SMR) dédié à la production de chaleur et de son raccordement au réseau de chaleur sur le site du centre du Commissariat à l’énergie atomique (CEA) de Cadarache sur la commune de Saint-Paul-lès-Durance (13). […]</w:t>
      </w:r>
    </w:p>
    <w:p w:rsidR="00EF617C" w:rsidRDefault="00EF617C" w:rsidP="00EF617C">
      <w:pPr>
        <w:pBdr>
          <w:left w:val="single" w:sz="4" w:space="4" w:color="auto"/>
        </w:pBdr>
        <w:jc w:val="both"/>
      </w:pPr>
    </w:p>
    <w:p w:rsidR="000340D8" w:rsidRPr="000340D8" w:rsidRDefault="006B52B9" w:rsidP="00EF617C">
      <w:pPr>
        <w:pStyle w:val="Textebrut"/>
        <w:pBdr>
          <w:left w:val="single" w:sz="4" w:space="4" w:color="auto"/>
        </w:pBdr>
        <w:jc w:val="both"/>
        <w:rPr>
          <w:i/>
        </w:rPr>
      </w:pPr>
      <w:hyperlink r:id="rId33" w:history="1">
        <w:r w:rsidR="000340D8" w:rsidRPr="000340D8">
          <w:rPr>
            <w:rStyle w:val="Lienhypertexte"/>
            <w:b/>
            <w:i/>
            <w:color w:val="auto"/>
          </w:rPr>
          <w:t>Décision n° 2026/43/SMR CALOGENA/1 du 6 mai 2026</w:t>
        </w:r>
        <w:r w:rsidR="000340D8" w:rsidRPr="000340D8">
          <w:rPr>
            <w:rStyle w:val="Lienhypertexte"/>
            <w:i/>
            <w:color w:val="auto"/>
          </w:rPr>
          <w:t xml:space="preserve"> portant désignation de garants de la concertation préalable relative au projet de création d'un réacteur nucléaire (SMR) dédié à la production de chaleur et de son raccordement au réseau de chaleur sur le site du centre du CEA de Cadarache sur la commune de Saint-Paul-lès-Durance (13).</w:t>
        </w:r>
      </w:hyperlink>
    </w:p>
    <w:p w:rsidR="000340D8" w:rsidRDefault="000340D8" w:rsidP="000340D8">
      <w:pPr>
        <w:pStyle w:val="Textebrut"/>
      </w:pPr>
    </w:p>
    <w:p w:rsidR="00522E3B" w:rsidRDefault="00522E3B" w:rsidP="00522E3B"/>
    <w:p w:rsidR="009C2693" w:rsidRPr="00522E3B" w:rsidRDefault="009C2693" w:rsidP="00522E3B"/>
    <w:p w:rsidR="00FB35C4" w:rsidRDefault="00FB35C4" w:rsidP="00FB35C4">
      <w:pPr>
        <w:pStyle w:val="Titre1"/>
      </w:pPr>
      <w:bookmarkStart w:id="17" w:name="_Toc231994031"/>
      <w:r>
        <w:t>Tarifs réglementés de vente d’électricité</w:t>
      </w:r>
      <w:bookmarkEnd w:id="17"/>
    </w:p>
    <w:p w:rsidR="00FB35C4" w:rsidRDefault="00FB35C4" w:rsidP="00697A68"/>
    <w:p w:rsidR="00FB35C4" w:rsidRPr="00FB35C4" w:rsidRDefault="00FB35C4" w:rsidP="00EB60C9">
      <w:pPr>
        <w:pBdr>
          <w:left w:val="single" w:sz="4" w:space="4" w:color="auto"/>
        </w:pBdr>
        <w:jc w:val="both"/>
        <w:rPr>
          <w:b/>
        </w:rPr>
      </w:pPr>
      <w:r w:rsidRPr="00FB35C4">
        <w:rPr>
          <w:b/>
        </w:rPr>
        <w:sym w:font="Wingdings" w:char="F0E8"/>
      </w:r>
      <w:r w:rsidRPr="00FB35C4">
        <w:rPr>
          <w:b/>
        </w:rPr>
        <w:t xml:space="preserve"> Expérimentation de l’envoi de signaux tarifaires à un échantillon de consommateurs résidentiels</w:t>
      </w:r>
    </w:p>
    <w:p w:rsidR="00FB35C4" w:rsidRDefault="00FB35C4" w:rsidP="00EB60C9">
      <w:pPr>
        <w:pBdr>
          <w:left w:val="single" w:sz="4" w:space="4" w:color="auto"/>
        </w:pBdr>
      </w:pPr>
    </w:p>
    <w:p w:rsidR="00FB35C4" w:rsidRDefault="00EB60C9" w:rsidP="00EB60C9">
      <w:pPr>
        <w:pBdr>
          <w:left w:val="single" w:sz="4" w:space="4" w:color="auto"/>
        </w:pBdr>
        <w:jc w:val="both"/>
      </w:pPr>
      <w:r>
        <w:t>Ce décret précise la m</w:t>
      </w:r>
      <w:r w:rsidR="00FB35C4">
        <w:t>ise en œuvre d’une expérimentation portant sur l’envoi de signaux tarifaires à un échantillon de</w:t>
      </w:r>
      <w:r>
        <w:t xml:space="preserve"> </w:t>
      </w:r>
      <w:r w:rsidR="00FB35C4">
        <w:t xml:space="preserve">consommateurs souscrivant l’option « Base » des tarifs réglementés de vente d’électricité dans le but d’analyser leur capacité à modifier leur comportement de consommation. </w:t>
      </w:r>
    </w:p>
    <w:p w:rsidR="00FB35C4" w:rsidRDefault="00FB35C4" w:rsidP="00EB60C9">
      <w:pPr>
        <w:pBdr>
          <w:left w:val="single" w:sz="4" w:space="4" w:color="auto"/>
        </w:pBdr>
        <w:jc w:val="both"/>
      </w:pPr>
    </w:p>
    <w:p w:rsidR="00EB60C9" w:rsidRDefault="00FB35C4" w:rsidP="00EB60C9">
      <w:pPr>
        <w:pBdr>
          <w:left w:val="single" w:sz="4" w:space="4" w:color="auto"/>
        </w:pBdr>
        <w:jc w:val="both"/>
      </w:pPr>
      <w:r>
        <w:t xml:space="preserve">A ce titre, le décret prévoit la collecte par le gestionnaire de réseau public de distribution (ENEDIS), la transmission à Electricité de France et le traitement par cette dernière des données de consommations horaires au pas de trente minutes, appelées « courbe de charge » des consommateurs participant à l’expérimentation. </w:t>
      </w:r>
    </w:p>
    <w:p w:rsidR="00EB60C9" w:rsidRDefault="00EB60C9" w:rsidP="00EB60C9">
      <w:pPr>
        <w:pBdr>
          <w:left w:val="single" w:sz="4" w:space="4" w:color="auto"/>
        </w:pBdr>
        <w:jc w:val="both"/>
      </w:pPr>
    </w:p>
    <w:p w:rsidR="00FB35C4" w:rsidRDefault="00FB35C4" w:rsidP="00EB60C9">
      <w:pPr>
        <w:pBdr>
          <w:left w:val="single" w:sz="4" w:space="4" w:color="auto"/>
        </w:pBdr>
        <w:jc w:val="both"/>
      </w:pPr>
      <w:r>
        <w:t>Le traitement de la courbe de charge permet à</w:t>
      </w:r>
      <w:r w:rsidR="00EB60C9">
        <w:t xml:space="preserve"> </w:t>
      </w:r>
      <w:r>
        <w:t xml:space="preserve">Electricité de France de déterminer l’éventuelle contrepartie financière appliquée aux </w:t>
      </w:r>
      <w:r w:rsidR="00EB60C9">
        <w:t>c</w:t>
      </w:r>
      <w:r>
        <w:t>onsommateurs participant à l’expérimentation en fonction de l’adaptation de leur consommation en réponse aux signaux tarifaires et à suivre</w:t>
      </w:r>
      <w:r w:rsidR="00EB60C9">
        <w:t xml:space="preserve"> </w:t>
      </w:r>
      <w:r>
        <w:t>leurs évolutions de comportement de consommation en vue de la rédaction d’un rapport qui sera transmis au</w:t>
      </w:r>
      <w:r w:rsidR="00EB60C9">
        <w:t xml:space="preserve"> </w:t>
      </w:r>
      <w:r>
        <w:t>ministre chargé de l’énergie et à la Commission de régulation de l’énergie.</w:t>
      </w:r>
    </w:p>
    <w:p w:rsidR="00EB60C9" w:rsidRDefault="00EB60C9" w:rsidP="00EB60C9">
      <w:pPr>
        <w:pBdr>
          <w:left w:val="single" w:sz="4" w:space="4" w:color="auto"/>
        </w:pBdr>
      </w:pPr>
    </w:p>
    <w:p w:rsidR="00FB35C4" w:rsidRPr="00FB35C4" w:rsidRDefault="006B52B9" w:rsidP="00EB60C9">
      <w:pPr>
        <w:pBdr>
          <w:left w:val="single" w:sz="4" w:space="4" w:color="auto"/>
        </w:pBdr>
        <w:jc w:val="both"/>
        <w:rPr>
          <w:i/>
        </w:rPr>
      </w:pPr>
      <w:hyperlink r:id="rId34" w:history="1">
        <w:r w:rsidR="00FB35C4" w:rsidRPr="00FB35C4">
          <w:rPr>
            <w:rStyle w:val="Lienhypertexte"/>
            <w:b/>
            <w:i/>
            <w:color w:val="auto"/>
          </w:rPr>
          <w:t>Décret n° 2026-339 du 30 avril 2026</w:t>
        </w:r>
        <w:r w:rsidR="00FB35C4" w:rsidRPr="00FB35C4">
          <w:rPr>
            <w:rStyle w:val="Lienhypertexte"/>
            <w:i/>
            <w:color w:val="auto"/>
          </w:rPr>
          <w:t xml:space="preserve"> portant expérimentation de l'envoi de signaux tarifaires à un échantillon de consommateurs résidentiels souscrivant l'option Base des tarifs réglementés de vente d'électricité.</w:t>
        </w:r>
      </w:hyperlink>
    </w:p>
    <w:p w:rsidR="00FB35C4" w:rsidRDefault="00FB35C4" w:rsidP="00FB35C4"/>
    <w:p w:rsidR="00FB35C4" w:rsidRDefault="00FB35C4" w:rsidP="00697A68"/>
    <w:p w:rsidR="009C2693" w:rsidRDefault="009C2693" w:rsidP="00697A68"/>
    <w:p w:rsidR="00BB128F" w:rsidRPr="00BB128F" w:rsidRDefault="00BB128F" w:rsidP="00BB128F">
      <w:pPr>
        <w:pBdr>
          <w:left w:val="single" w:sz="4" w:space="4" w:color="auto"/>
        </w:pBdr>
        <w:jc w:val="both"/>
        <w:rPr>
          <w:b/>
        </w:rPr>
      </w:pPr>
      <w:r w:rsidRPr="00BB128F">
        <w:rPr>
          <w:b/>
        </w:rPr>
        <w:sym w:font="Wingdings" w:char="F0E8"/>
      </w:r>
      <w:r w:rsidRPr="00BB128F">
        <w:rPr>
          <w:b/>
        </w:rPr>
        <w:t xml:space="preserve"> C</w:t>
      </w:r>
      <w:r w:rsidRPr="00BB128F">
        <w:rPr>
          <w:b/>
        </w:rPr>
        <w:t>onsommateurs résidentiels en France métropolitaine continentale participant à</w:t>
      </w:r>
      <w:r w:rsidRPr="00BB128F">
        <w:rPr>
          <w:b/>
        </w:rPr>
        <w:t xml:space="preserve"> </w:t>
      </w:r>
      <w:r w:rsidRPr="00BB128F">
        <w:rPr>
          <w:b/>
        </w:rPr>
        <w:t>l’expérimentation de l’envoi de signaux tarifaires</w:t>
      </w:r>
    </w:p>
    <w:p w:rsidR="00BB128F" w:rsidRDefault="00BB128F" w:rsidP="00BB128F">
      <w:pPr>
        <w:pBdr>
          <w:left w:val="single" w:sz="4" w:space="4" w:color="auto"/>
        </w:pBdr>
        <w:jc w:val="both"/>
      </w:pPr>
    </w:p>
    <w:p w:rsidR="00BB128F" w:rsidRDefault="00BB128F" w:rsidP="00BB128F">
      <w:pPr>
        <w:pBdr>
          <w:left w:val="single" w:sz="4" w:space="4" w:color="auto"/>
        </w:pBdr>
        <w:jc w:val="both"/>
      </w:pPr>
      <w:r>
        <w:t>Les tarifs réglementés de vente hors taxes de l’électricité mentionnés à l’article L. 337-1 du code de l’énergie susvisé applicables aux consommateurs résidentiels en France métropolitaine continentale participant à l’expérimentation de l’envoi de signaux tarifaires prévue par le décret n</w:t>
      </w:r>
      <w:r>
        <w:t>°</w:t>
      </w:r>
      <w:r>
        <w:t>2026-339 du 30 avril 2026 portant expérimentation de l’envoi de signaux tarifaires à un échantillon de consommateurs résidentiels souscrivant l’option Base des tarifs réglementés de vente d’électricité sont fixés conformément à l’annexe de la proposition de la Commission de régulation de l’énergie du 7 mai 2026 annexée à la présente décision.</w:t>
      </w:r>
      <w:r>
        <w:t xml:space="preserve"> […]</w:t>
      </w:r>
    </w:p>
    <w:p w:rsidR="00BB128F" w:rsidRDefault="00BB128F" w:rsidP="00BB128F">
      <w:pPr>
        <w:pBdr>
          <w:left w:val="single" w:sz="4" w:space="4" w:color="auto"/>
        </w:pBdr>
        <w:jc w:val="both"/>
      </w:pPr>
    </w:p>
    <w:p w:rsidR="00BB128F" w:rsidRPr="00BB128F" w:rsidRDefault="00BB128F" w:rsidP="00BB128F">
      <w:pPr>
        <w:pStyle w:val="Textebrut"/>
        <w:pBdr>
          <w:left w:val="single" w:sz="4" w:space="4" w:color="auto"/>
        </w:pBdr>
        <w:jc w:val="both"/>
        <w:rPr>
          <w:i/>
        </w:rPr>
      </w:pPr>
      <w:hyperlink r:id="rId35" w:history="1">
        <w:r w:rsidRPr="00BB128F">
          <w:rPr>
            <w:rStyle w:val="Lienhypertexte"/>
            <w:b/>
            <w:i/>
            <w:color w:val="auto"/>
          </w:rPr>
          <w:t xml:space="preserve">Arrêté du 28 mai 2026 </w:t>
        </w:r>
        <w:r w:rsidRPr="00BB128F">
          <w:rPr>
            <w:rStyle w:val="Lienhypertexte"/>
            <w:i/>
            <w:color w:val="auto"/>
          </w:rPr>
          <w:t>relatif aux tarifs réglementés de vente de l'électricité applicables aux</w:t>
        </w:r>
        <w:r>
          <w:rPr>
            <w:rStyle w:val="Lienhypertexte"/>
            <w:i/>
            <w:color w:val="auto"/>
          </w:rPr>
          <w:t xml:space="preserve"> </w:t>
        </w:r>
        <w:r w:rsidRPr="00BB128F">
          <w:rPr>
            <w:rStyle w:val="Lienhypertexte"/>
            <w:i/>
            <w:color w:val="auto"/>
          </w:rPr>
          <w:t>consommateurs résidentiels en France métropolitaine continentale participant à l'expérimentation de l'envoi de signaux tarifaires.</w:t>
        </w:r>
      </w:hyperlink>
    </w:p>
    <w:p w:rsidR="00BB128F" w:rsidRDefault="00BB128F" w:rsidP="00BB128F">
      <w:pPr>
        <w:pStyle w:val="Textebrut"/>
      </w:pPr>
    </w:p>
    <w:p w:rsidR="00BB128F" w:rsidRDefault="00BB128F" w:rsidP="00697A68"/>
    <w:p w:rsidR="00F47C8C" w:rsidRPr="00F47C8C" w:rsidRDefault="00F47C8C" w:rsidP="00F47C8C"/>
    <w:p w:rsidR="00347591" w:rsidRDefault="00347591" w:rsidP="00347591">
      <w:pPr>
        <w:pStyle w:val="Titre1"/>
      </w:pPr>
      <w:bookmarkStart w:id="18" w:name="_Hlk231980648"/>
      <w:bookmarkStart w:id="19" w:name="_Toc231994032"/>
      <w:r>
        <w:t>Transport</w:t>
      </w:r>
      <w:bookmarkEnd w:id="19"/>
    </w:p>
    <w:bookmarkEnd w:id="18"/>
    <w:p w:rsidR="00286D24" w:rsidRDefault="00286D24" w:rsidP="00AB3812">
      <w:pPr>
        <w:pStyle w:val="Textebrut"/>
      </w:pPr>
    </w:p>
    <w:p w:rsidR="00224F5C" w:rsidRPr="00224F5C" w:rsidRDefault="00224F5C" w:rsidP="00224F5C">
      <w:pPr>
        <w:pStyle w:val="Textebrut"/>
        <w:pBdr>
          <w:left w:val="single" w:sz="4" w:space="4" w:color="auto"/>
        </w:pBdr>
        <w:jc w:val="both"/>
        <w:rPr>
          <w:b/>
        </w:rPr>
      </w:pPr>
      <w:r w:rsidRPr="00224F5C">
        <w:rPr>
          <w:b/>
        </w:rPr>
        <w:sym w:font="Wingdings" w:char="F0E8"/>
      </w:r>
      <w:r w:rsidRPr="00224F5C">
        <w:rPr>
          <w:b/>
        </w:rPr>
        <w:t xml:space="preserve"> Suppression des articles relatifs aux décisions fixant les listes des véhicules compatibles avec certains carburants</w:t>
      </w:r>
    </w:p>
    <w:p w:rsidR="00224F5C" w:rsidRDefault="00224F5C" w:rsidP="00224F5C">
      <w:pPr>
        <w:pStyle w:val="Textebrut"/>
        <w:pBdr>
          <w:left w:val="single" w:sz="4" w:space="4" w:color="auto"/>
        </w:pBdr>
        <w:jc w:val="both"/>
      </w:pPr>
    </w:p>
    <w:p w:rsidR="00224F5C" w:rsidRDefault="00224F5C" w:rsidP="00224F5C">
      <w:pPr>
        <w:pStyle w:val="Textebrut"/>
        <w:pBdr>
          <w:left w:val="single" w:sz="4" w:space="4" w:color="auto"/>
        </w:pBdr>
        <w:jc w:val="both"/>
      </w:pPr>
      <w:r>
        <w:t>Les arrêtés relatifs à trois carburants (supercarburant SP95-E10, gazole B10 et gazole XTL) indiquent que la liste des véhicules routiers compatibles avec ces carburants est fixée par décision du directeur de l’énergie, publiée au Journal officiel de la République française.</w:t>
      </w:r>
    </w:p>
    <w:p w:rsidR="00224F5C" w:rsidRDefault="00224F5C" w:rsidP="00224F5C">
      <w:pPr>
        <w:pStyle w:val="Textebrut"/>
        <w:pBdr>
          <w:left w:val="single" w:sz="4" w:space="4" w:color="auto"/>
        </w:pBdr>
        <w:jc w:val="both"/>
      </w:pPr>
    </w:p>
    <w:p w:rsidR="00224F5C" w:rsidRDefault="00224F5C" w:rsidP="00224F5C">
      <w:pPr>
        <w:pStyle w:val="Textebrut"/>
        <w:pBdr>
          <w:left w:val="single" w:sz="4" w:space="4" w:color="auto"/>
        </w:pBdr>
        <w:jc w:val="both"/>
      </w:pPr>
      <w:r>
        <w:t>Le présent arrêté abroge les articles relatifs à ces décisions.</w:t>
      </w:r>
    </w:p>
    <w:p w:rsidR="00224F5C" w:rsidRDefault="00224F5C" w:rsidP="00224F5C">
      <w:pPr>
        <w:pStyle w:val="Textebrut"/>
        <w:pBdr>
          <w:left w:val="single" w:sz="4" w:space="4" w:color="auto"/>
        </w:pBdr>
        <w:jc w:val="both"/>
      </w:pPr>
    </w:p>
    <w:p w:rsidR="007347C0" w:rsidRPr="00224F5C" w:rsidRDefault="006B52B9" w:rsidP="00224F5C">
      <w:pPr>
        <w:pStyle w:val="Textebrut"/>
        <w:pBdr>
          <w:left w:val="single" w:sz="4" w:space="4" w:color="auto"/>
        </w:pBdr>
        <w:jc w:val="both"/>
        <w:rPr>
          <w:i/>
        </w:rPr>
      </w:pPr>
      <w:hyperlink r:id="rId36" w:history="1">
        <w:r w:rsidR="007347C0" w:rsidRPr="00224F5C">
          <w:rPr>
            <w:rStyle w:val="Lienhypertexte"/>
            <w:b/>
            <w:i/>
            <w:color w:val="auto"/>
          </w:rPr>
          <w:t>Arrêté du 21 avril 2026</w:t>
        </w:r>
        <w:r w:rsidR="007347C0" w:rsidRPr="00224F5C">
          <w:rPr>
            <w:rStyle w:val="Lienhypertexte"/>
            <w:i/>
            <w:color w:val="auto"/>
          </w:rPr>
          <w:t xml:space="preserve"> relatif aux listes de véhicules et engins compatibles avec certains carburants</w:t>
        </w:r>
        <w:r w:rsidR="00224F5C" w:rsidRPr="00224F5C">
          <w:rPr>
            <w:rStyle w:val="Lienhypertexte"/>
            <w:i/>
            <w:color w:val="auto"/>
          </w:rPr>
          <w:t>.</w:t>
        </w:r>
      </w:hyperlink>
    </w:p>
    <w:p w:rsidR="00224F5C" w:rsidRDefault="00224F5C" w:rsidP="007347C0">
      <w:pPr>
        <w:pStyle w:val="Textebrut"/>
      </w:pPr>
    </w:p>
    <w:p w:rsidR="007347C0" w:rsidRDefault="007347C0" w:rsidP="007347C0">
      <w:pPr>
        <w:pStyle w:val="Textebrut"/>
      </w:pPr>
    </w:p>
    <w:p w:rsidR="00FC0ED4" w:rsidRDefault="00FC0ED4" w:rsidP="007347C0">
      <w:pPr>
        <w:pStyle w:val="Textebrut"/>
      </w:pPr>
    </w:p>
    <w:p w:rsidR="007347C0" w:rsidRPr="00FC0ED4" w:rsidRDefault="00FC0ED4" w:rsidP="00FC0ED4">
      <w:pPr>
        <w:pStyle w:val="Textebrut"/>
        <w:pBdr>
          <w:left w:val="single" w:sz="4" w:space="4" w:color="auto"/>
        </w:pBdr>
        <w:jc w:val="both"/>
        <w:rPr>
          <w:b/>
        </w:rPr>
      </w:pPr>
      <w:r w:rsidRPr="00FC0ED4">
        <w:rPr>
          <w:b/>
        </w:rPr>
        <w:sym w:font="Wingdings" w:char="F0E8"/>
      </w:r>
      <w:r w:rsidRPr="00FC0ED4">
        <w:rPr>
          <w:b/>
        </w:rPr>
        <w:t xml:space="preserve"> Liste des versions de voitures particulières électriques ayant atteint le score environnemental minimal</w:t>
      </w:r>
    </w:p>
    <w:p w:rsidR="00FC0ED4" w:rsidRDefault="00FC0ED4" w:rsidP="00FC0ED4">
      <w:pPr>
        <w:pStyle w:val="Textebrut"/>
        <w:pBdr>
          <w:left w:val="single" w:sz="4" w:space="4" w:color="auto"/>
        </w:pBdr>
        <w:jc w:val="both"/>
      </w:pPr>
    </w:p>
    <w:p w:rsidR="00227A66" w:rsidRPr="00FC0ED4" w:rsidRDefault="006B52B9" w:rsidP="00FC0ED4">
      <w:pPr>
        <w:pStyle w:val="Textebrut"/>
        <w:pBdr>
          <w:left w:val="single" w:sz="4" w:space="4" w:color="auto"/>
        </w:pBdr>
        <w:jc w:val="both"/>
        <w:rPr>
          <w:i/>
        </w:rPr>
      </w:pPr>
      <w:hyperlink r:id="rId37" w:history="1">
        <w:r w:rsidR="00227A66" w:rsidRPr="00FC0ED4">
          <w:rPr>
            <w:rStyle w:val="Lienhypertexte"/>
            <w:b/>
            <w:i/>
            <w:color w:val="auto"/>
          </w:rPr>
          <w:t>Arrêté du 13 mai 2026</w:t>
        </w:r>
        <w:r w:rsidR="00227A66" w:rsidRPr="00FC0ED4">
          <w:rPr>
            <w:rStyle w:val="Lienhypertexte"/>
            <w:i/>
            <w:color w:val="auto"/>
          </w:rPr>
          <w:t xml:space="preserve"> modifiant l'arrêté du 14 décembre 2023 fixant la liste des versions de voitures particulières électriques ayant atteint le score environnemental minimal conditionnant l'éligibilité à certaines aides à l'achat ou à la location de véhicules peu polluants</w:t>
        </w:r>
        <w:r w:rsidR="00FC0ED4" w:rsidRPr="00FC0ED4">
          <w:rPr>
            <w:rStyle w:val="Lienhypertexte"/>
            <w:i/>
            <w:color w:val="auto"/>
          </w:rPr>
          <w:t>.</w:t>
        </w:r>
      </w:hyperlink>
    </w:p>
    <w:p w:rsidR="007347C0" w:rsidRDefault="007347C0" w:rsidP="00227A66">
      <w:pPr>
        <w:pStyle w:val="Textebrut"/>
      </w:pPr>
    </w:p>
    <w:p w:rsidR="00206033" w:rsidRDefault="00206033" w:rsidP="00730C0A">
      <w:pPr>
        <w:pStyle w:val="Textebrut"/>
      </w:pPr>
    </w:p>
    <w:p w:rsidR="00730C0A" w:rsidRDefault="00730C0A" w:rsidP="00730C0A">
      <w:pPr>
        <w:pStyle w:val="Textebrut"/>
      </w:pPr>
    </w:p>
    <w:p w:rsidR="004B031C" w:rsidRDefault="004B031C" w:rsidP="004B031C">
      <w:pPr>
        <w:pStyle w:val="Titre1"/>
      </w:pPr>
      <w:bookmarkStart w:id="20" w:name="_Toc231994033"/>
      <w:r>
        <w:t xml:space="preserve">Zones </w:t>
      </w:r>
      <w:r w:rsidR="004066E9">
        <w:t>n</w:t>
      </w:r>
      <w:r>
        <w:t xml:space="preserve">on </w:t>
      </w:r>
      <w:r w:rsidR="004066E9">
        <w:t>i</w:t>
      </w:r>
      <w:r>
        <w:t>nterconnectées</w:t>
      </w:r>
      <w:bookmarkEnd w:id="20"/>
    </w:p>
    <w:p w:rsidR="00A2504C" w:rsidRDefault="00A2504C" w:rsidP="00A2504C"/>
    <w:p w:rsidR="00227A66" w:rsidRPr="005A61C9" w:rsidRDefault="0012040C" w:rsidP="005A61C9">
      <w:pPr>
        <w:pStyle w:val="Textebrut"/>
        <w:pBdr>
          <w:left w:val="single" w:sz="4" w:space="4" w:color="auto"/>
        </w:pBdr>
        <w:jc w:val="both"/>
        <w:rPr>
          <w:b/>
        </w:rPr>
      </w:pPr>
      <w:r w:rsidRPr="005A61C9">
        <w:rPr>
          <w:b/>
        </w:rPr>
        <w:t xml:space="preserve"> </w:t>
      </w:r>
      <w:r w:rsidR="005A61C9" w:rsidRPr="005A61C9">
        <w:rPr>
          <w:b/>
        </w:rPr>
        <w:sym w:font="Wingdings" w:char="F0E8"/>
      </w:r>
      <w:r w:rsidR="005A61C9" w:rsidRPr="005A61C9">
        <w:rPr>
          <w:b/>
        </w:rPr>
        <w:t xml:space="preserve"> M</w:t>
      </w:r>
      <w:r w:rsidR="005A61C9" w:rsidRPr="005A61C9">
        <w:rPr>
          <w:b/>
        </w:rPr>
        <w:t>odification de la partie réglementaire du code de</w:t>
      </w:r>
      <w:r w:rsidR="005A61C9" w:rsidRPr="005A61C9">
        <w:rPr>
          <w:b/>
        </w:rPr>
        <w:t xml:space="preserve"> </w:t>
      </w:r>
      <w:r w:rsidR="005A61C9" w:rsidRPr="005A61C9">
        <w:rPr>
          <w:b/>
        </w:rPr>
        <w:t>l’énergie relative aux schémas de raccordement au réseau des énergies renouvelables dans les</w:t>
      </w:r>
      <w:r w:rsidR="005A61C9" w:rsidRPr="005A61C9">
        <w:rPr>
          <w:b/>
        </w:rPr>
        <w:t xml:space="preserve"> </w:t>
      </w:r>
      <w:r w:rsidR="005A61C9" w:rsidRPr="005A61C9">
        <w:rPr>
          <w:b/>
        </w:rPr>
        <w:t>zones non interconnectées</w:t>
      </w:r>
    </w:p>
    <w:p w:rsidR="005A61C9" w:rsidRDefault="005A61C9" w:rsidP="005A61C9">
      <w:pPr>
        <w:pStyle w:val="Textebrut"/>
        <w:pBdr>
          <w:left w:val="single" w:sz="4" w:space="4" w:color="auto"/>
        </w:pBdr>
        <w:jc w:val="both"/>
      </w:pPr>
    </w:p>
    <w:p w:rsidR="005A61C9" w:rsidRDefault="005A61C9" w:rsidP="005A61C9">
      <w:pPr>
        <w:pStyle w:val="Textebrut"/>
        <w:pBdr>
          <w:left w:val="single" w:sz="4" w:space="4" w:color="auto"/>
        </w:pBdr>
        <w:jc w:val="both"/>
      </w:pPr>
      <w:r>
        <w:t>L</w:t>
      </w:r>
      <w:r>
        <w:t>e texte adapte la partie réglementaire du code de l’énergie relative aux schémas de raccordement au</w:t>
      </w:r>
      <w:r>
        <w:t xml:space="preserve"> </w:t>
      </w:r>
      <w:r>
        <w:t>réseau des énergies renouvelables dans les zones non interconnectées pour tenir compte des évolutions introduites</w:t>
      </w:r>
      <w:r>
        <w:t xml:space="preserve"> </w:t>
      </w:r>
      <w:r>
        <w:t>par l’ordonnance n</w:t>
      </w:r>
      <w:r>
        <w:t>°</w:t>
      </w:r>
      <w:r>
        <w:t>2023-816 du 23 août 2023 relative au raccordement et à l’accès aux réseaux publics</w:t>
      </w:r>
      <w:r>
        <w:t xml:space="preserve"> </w:t>
      </w:r>
      <w:r>
        <w:t>d’électricité.</w:t>
      </w:r>
    </w:p>
    <w:p w:rsidR="005A61C9" w:rsidRDefault="005A61C9" w:rsidP="005A61C9">
      <w:pPr>
        <w:pStyle w:val="Textebrut"/>
        <w:pBdr>
          <w:left w:val="single" w:sz="4" w:space="4" w:color="auto"/>
        </w:pBdr>
        <w:jc w:val="both"/>
      </w:pPr>
    </w:p>
    <w:p w:rsidR="005A61C9" w:rsidRDefault="005A61C9" w:rsidP="005A61C9">
      <w:pPr>
        <w:pStyle w:val="Textebrut"/>
        <w:pBdr>
          <w:left w:val="single" w:sz="4" w:space="4" w:color="auto"/>
        </w:pBdr>
        <w:jc w:val="both"/>
      </w:pPr>
      <w:r>
        <w:t>Il vise notamment à accélérer l’élaboration des schémas en encadrant certaines phases</w:t>
      </w:r>
      <w:r>
        <w:t xml:space="preserve"> </w:t>
      </w:r>
      <w:r>
        <w:t>d’élaboration, à renforcer leur portée anticipatrice en fiabilisant la planification à travers la mise en place</w:t>
      </w:r>
      <w:r>
        <w:t xml:space="preserve"> </w:t>
      </w:r>
      <w:r>
        <w:t>d’un dispositif de déclaration des producteurs par le gestionnaire de réseau, en renforçant l’articulation avec la</w:t>
      </w:r>
      <w:r>
        <w:t xml:space="preserve"> </w:t>
      </w:r>
      <w:r>
        <w:t>programmation pluriannuelle de l’énergie et en précisant la méthode de définition des ouvrages prioritaires dont</w:t>
      </w:r>
      <w:r>
        <w:t xml:space="preserve"> </w:t>
      </w:r>
      <w:r>
        <w:t xml:space="preserve">les travaux sont lancés dès l’approbation de la quote-part du schéma. </w:t>
      </w:r>
    </w:p>
    <w:p w:rsidR="005A61C9" w:rsidRDefault="005A61C9" w:rsidP="005A61C9">
      <w:pPr>
        <w:pStyle w:val="Textebrut"/>
        <w:pBdr>
          <w:left w:val="single" w:sz="4" w:space="4" w:color="auto"/>
        </w:pBdr>
        <w:jc w:val="both"/>
      </w:pPr>
    </w:p>
    <w:p w:rsidR="005A61C9" w:rsidRDefault="005A61C9" w:rsidP="005A61C9">
      <w:pPr>
        <w:pStyle w:val="Textebrut"/>
        <w:pBdr>
          <w:left w:val="single" w:sz="4" w:space="4" w:color="auto"/>
        </w:pBdr>
        <w:jc w:val="both"/>
      </w:pPr>
      <w:r>
        <w:t>Le texte vise également à rationaliser la</w:t>
      </w:r>
      <w:r>
        <w:t xml:space="preserve"> </w:t>
      </w:r>
      <w:r>
        <w:t>méthode de sélection des ouvrages retenus dans le périmètre de mutualisation via l’introduction d’un critère</w:t>
      </w:r>
      <w:r>
        <w:t xml:space="preserve"> </w:t>
      </w:r>
      <w:r>
        <w:t>technico-économique défini par arrêté</w:t>
      </w:r>
      <w:r>
        <w:t>.</w:t>
      </w:r>
    </w:p>
    <w:p w:rsidR="005A61C9" w:rsidRDefault="005A61C9" w:rsidP="005A61C9">
      <w:pPr>
        <w:pStyle w:val="Textebrut"/>
        <w:pBdr>
          <w:left w:val="single" w:sz="4" w:space="4" w:color="auto"/>
        </w:pBdr>
        <w:jc w:val="both"/>
      </w:pPr>
    </w:p>
    <w:p w:rsidR="00D67D07" w:rsidRPr="005A61C9" w:rsidRDefault="00D67D07" w:rsidP="005A61C9">
      <w:pPr>
        <w:pStyle w:val="Textebrut"/>
        <w:pBdr>
          <w:left w:val="single" w:sz="4" w:space="4" w:color="auto"/>
        </w:pBdr>
        <w:jc w:val="both"/>
        <w:rPr>
          <w:i/>
        </w:rPr>
      </w:pPr>
      <w:hyperlink r:id="rId38" w:history="1">
        <w:r w:rsidRPr="005A61C9">
          <w:rPr>
            <w:rStyle w:val="Lienhypertexte"/>
            <w:b/>
            <w:i/>
            <w:color w:val="auto"/>
          </w:rPr>
          <w:t>Décret n° 2026-393 du 22 mai 2026</w:t>
        </w:r>
        <w:r w:rsidRPr="005A61C9">
          <w:rPr>
            <w:rStyle w:val="Lienhypertexte"/>
            <w:i/>
            <w:color w:val="auto"/>
          </w:rPr>
          <w:t xml:space="preserve"> portant modification de la partie réglementaire du code de l'énergie relative aux schémas de raccordement au réseau des énergies renouvelables dans les zones non interconnectées.</w:t>
        </w:r>
      </w:hyperlink>
    </w:p>
    <w:p w:rsidR="00D67D07" w:rsidRDefault="00D67D07" w:rsidP="00D67D07">
      <w:pPr>
        <w:pStyle w:val="Textebrut"/>
      </w:pPr>
    </w:p>
    <w:sectPr w:rsidR="00D67D07">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2B9" w:rsidRDefault="006B52B9" w:rsidP="00D92460">
      <w:r>
        <w:separator/>
      </w:r>
    </w:p>
  </w:endnote>
  <w:endnote w:type="continuationSeparator" w:id="0">
    <w:p w:rsidR="006B52B9" w:rsidRDefault="006B52B9"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2B9" w:rsidRDefault="006B52B9" w:rsidP="00D92460">
      <w:r>
        <w:separator/>
      </w:r>
    </w:p>
  </w:footnote>
  <w:footnote w:type="continuationSeparator" w:id="0">
    <w:p w:rsidR="006B52B9" w:rsidRDefault="006B52B9"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13A"/>
    <w:multiLevelType w:val="hybridMultilevel"/>
    <w:tmpl w:val="2068A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94525"/>
    <w:multiLevelType w:val="hybridMultilevel"/>
    <w:tmpl w:val="9964F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DB3CBD"/>
    <w:multiLevelType w:val="hybridMultilevel"/>
    <w:tmpl w:val="D9649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EE1FFC"/>
    <w:multiLevelType w:val="hybridMultilevel"/>
    <w:tmpl w:val="8A28AE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F8495E"/>
    <w:multiLevelType w:val="hybridMultilevel"/>
    <w:tmpl w:val="C9E4D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1B6CF2"/>
    <w:multiLevelType w:val="hybridMultilevel"/>
    <w:tmpl w:val="B4964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468FD"/>
    <w:multiLevelType w:val="hybridMultilevel"/>
    <w:tmpl w:val="1C38E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CB6C60"/>
    <w:multiLevelType w:val="hybridMultilevel"/>
    <w:tmpl w:val="D4B84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8"/>
  </w:num>
  <w:num w:numId="2">
    <w:abstractNumId w:val="11"/>
  </w:num>
  <w:num w:numId="3">
    <w:abstractNumId w:val="2"/>
  </w:num>
  <w:num w:numId="4">
    <w:abstractNumId w:val="9"/>
  </w:num>
  <w:num w:numId="5">
    <w:abstractNumId w:val="5"/>
  </w:num>
  <w:num w:numId="6">
    <w:abstractNumId w:val="6"/>
  </w:num>
  <w:num w:numId="7">
    <w:abstractNumId w:val="7"/>
  </w:num>
  <w:num w:numId="8">
    <w:abstractNumId w:val="3"/>
  </w:num>
  <w:num w:numId="9">
    <w:abstractNumId w:val="10"/>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01781"/>
    <w:rsid w:val="000114B8"/>
    <w:rsid w:val="000136C1"/>
    <w:rsid w:val="00030DDB"/>
    <w:rsid w:val="0003252E"/>
    <w:rsid w:val="000340D8"/>
    <w:rsid w:val="00034699"/>
    <w:rsid w:val="00034FEA"/>
    <w:rsid w:val="0003562B"/>
    <w:rsid w:val="0003565E"/>
    <w:rsid w:val="000421A9"/>
    <w:rsid w:val="00045C0D"/>
    <w:rsid w:val="000508E4"/>
    <w:rsid w:val="0006248D"/>
    <w:rsid w:val="00072236"/>
    <w:rsid w:val="00073F6B"/>
    <w:rsid w:val="00077DC6"/>
    <w:rsid w:val="0008225C"/>
    <w:rsid w:val="00090AAB"/>
    <w:rsid w:val="000972FE"/>
    <w:rsid w:val="000B7764"/>
    <w:rsid w:val="000B7DE0"/>
    <w:rsid w:val="000C19B5"/>
    <w:rsid w:val="000D5928"/>
    <w:rsid w:val="000D61C5"/>
    <w:rsid w:val="000E106E"/>
    <w:rsid w:val="000E3A76"/>
    <w:rsid w:val="000E6286"/>
    <w:rsid w:val="000F3FF7"/>
    <w:rsid w:val="000F69E6"/>
    <w:rsid w:val="00103CF2"/>
    <w:rsid w:val="0010578C"/>
    <w:rsid w:val="00113B26"/>
    <w:rsid w:val="00114B69"/>
    <w:rsid w:val="0012040C"/>
    <w:rsid w:val="00123886"/>
    <w:rsid w:val="00124168"/>
    <w:rsid w:val="00137481"/>
    <w:rsid w:val="0015167C"/>
    <w:rsid w:val="001560E5"/>
    <w:rsid w:val="00156DA4"/>
    <w:rsid w:val="0018306E"/>
    <w:rsid w:val="001A0211"/>
    <w:rsid w:val="001A3B44"/>
    <w:rsid w:val="001C6DA0"/>
    <w:rsid w:val="001D4C01"/>
    <w:rsid w:val="001E2E01"/>
    <w:rsid w:val="00206033"/>
    <w:rsid w:val="00224F5C"/>
    <w:rsid w:val="00225435"/>
    <w:rsid w:val="00227A66"/>
    <w:rsid w:val="0025490F"/>
    <w:rsid w:val="0025774C"/>
    <w:rsid w:val="00260921"/>
    <w:rsid w:val="002609E9"/>
    <w:rsid w:val="00274626"/>
    <w:rsid w:val="00286D24"/>
    <w:rsid w:val="00291138"/>
    <w:rsid w:val="002959F3"/>
    <w:rsid w:val="00297934"/>
    <w:rsid w:val="002A6584"/>
    <w:rsid w:val="002B2D22"/>
    <w:rsid w:val="002D13E3"/>
    <w:rsid w:val="002E041C"/>
    <w:rsid w:val="002E1B81"/>
    <w:rsid w:val="002E23C7"/>
    <w:rsid w:val="002E326B"/>
    <w:rsid w:val="002E5509"/>
    <w:rsid w:val="002E7BA9"/>
    <w:rsid w:val="002F3015"/>
    <w:rsid w:val="00301420"/>
    <w:rsid w:val="00310393"/>
    <w:rsid w:val="0031157D"/>
    <w:rsid w:val="003206BC"/>
    <w:rsid w:val="00322B46"/>
    <w:rsid w:val="0032730B"/>
    <w:rsid w:val="0033064E"/>
    <w:rsid w:val="0034400F"/>
    <w:rsid w:val="0034625F"/>
    <w:rsid w:val="00347591"/>
    <w:rsid w:val="0035131B"/>
    <w:rsid w:val="003568F7"/>
    <w:rsid w:val="00370EF4"/>
    <w:rsid w:val="00371CF4"/>
    <w:rsid w:val="0038708F"/>
    <w:rsid w:val="00392040"/>
    <w:rsid w:val="0039532D"/>
    <w:rsid w:val="003B61AA"/>
    <w:rsid w:val="003D19D4"/>
    <w:rsid w:val="003E6E14"/>
    <w:rsid w:val="003E7F35"/>
    <w:rsid w:val="003F320E"/>
    <w:rsid w:val="003F69AD"/>
    <w:rsid w:val="004066E9"/>
    <w:rsid w:val="00411AB5"/>
    <w:rsid w:val="0041288A"/>
    <w:rsid w:val="00424F07"/>
    <w:rsid w:val="00437409"/>
    <w:rsid w:val="00437F2F"/>
    <w:rsid w:val="004518F1"/>
    <w:rsid w:val="00453E7A"/>
    <w:rsid w:val="00454219"/>
    <w:rsid w:val="00455BD6"/>
    <w:rsid w:val="00457DE2"/>
    <w:rsid w:val="00464367"/>
    <w:rsid w:val="004668E0"/>
    <w:rsid w:val="00480288"/>
    <w:rsid w:val="00481309"/>
    <w:rsid w:val="00496059"/>
    <w:rsid w:val="004A2CCC"/>
    <w:rsid w:val="004B031C"/>
    <w:rsid w:val="004B52CB"/>
    <w:rsid w:val="004B6792"/>
    <w:rsid w:val="004C269B"/>
    <w:rsid w:val="004D29A0"/>
    <w:rsid w:val="004D5A75"/>
    <w:rsid w:val="004F451F"/>
    <w:rsid w:val="0050365C"/>
    <w:rsid w:val="00522E3B"/>
    <w:rsid w:val="00530806"/>
    <w:rsid w:val="00541617"/>
    <w:rsid w:val="005655EE"/>
    <w:rsid w:val="00566F3D"/>
    <w:rsid w:val="005727C1"/>
    <w:rsid w:val="00575129"/>
    <w:rsid w:val="005918D9"/>
    <w:rsid w:val="00597FBD"/>
    <w:rsid w:val="005A00B8"/>
    <w:rsid w:val="005A61C9"/>
    <w:rsid w:val="005B5C5F"/>
    <w:rsid w:val="005B79FF"/>
    <w:rsid w:val="005C32FA"/>
    <w:rsid w:val="005D18AC"/>
    <w:rsid w:val="005E47D0"/>
    <w:rsid w:val="005E7D96"/>
    <w:rsid w:val="005E7ED0"/>
    <w:rsid w:val="005F6147"/>
    <w:rsid w:val="0060133B"/>
    <w:rsid w:val="006035EB"/>
    <w:rsid w:val="00607D71"/>
    <w:rsid w:val="00615302"/>
    <w:rsid w:val="00615956"/>
    <w:rsid w:val="00625BC8"/>
    <w:rsid w:val="00627D06"/>
    <w:rsid w:val="006353BE"/>
    <w:rsid w:val="00642876"/>
    <w:rsid w:val="006442C3"/>
    <w:rsid w:val="00644658"/>
    <w:rsid w:val="00653AFD"/>
    <w:rsid w:val="0065702D"/>
    <w:rsid w:val="006678DA"/>
    <w:rsid w:val="00670367"/>
    <w:rsid w:val="00673ABD"/>
    <w:rsid w:val="0067563F"/>
    <w:rsid w:val="0067566A"/>
    <w:rsid w:val="00675BDB"/>
    <w:rsid w:val="006774E9"/>
    <w:rsid w:val="00697A68"/>
    <w:rsid w:val="006A1C2E"/>
    <w:rsid w:val="006B497E"/>
    <w:rsid w:val="006B52B9"/>
    <w:rsid w:val="006C28FC"/>
    <w:rsid w:val="006C65A9"/>
    <w:rsid w:val="006E2F58"/>
    <w:rsid w:val="00700B8F"/>
    <w:rsid w:val="00705ABC"/>
    <w:rsid w:val="00717478"/>
    <w:rsid w:val="00717692"/>
    <w:rsid w:val="00723262"/>
    <w:rsid w:val="00730C0A"/>
    <w:rsid w:val="00731C35"/>
    <w:rsid w:val="00734752"/>
    <w:rsid w:val="007347C0"/>
    <w:rsid w:val="00736A33"/>
    <w:rsid w:val="007610CF"/>
    <w:rsid w:val="00762EF4"/>
    <w:rsid w:val="00776855"/>
    <w:rsid w:val="007977E8"/>
    <w:rsid w:val="007A6590"/>
    <w:rsid w:val="007B3587"/>
    <w:rsid w:val="007B45FA"/>
    <w:rsid w:val="007B69D8"/>
    <w:rsid w:val="007C563A"/>
    <w:rsid w:val="007D3F89"/>
    <w:rsid w:val="007E695A"/>
    <w:rsid w:val="007E7380"/>
    <w:rsid w:val="008044BB"/>
    <w:rsid w:val="00824363"/>
    <w:rsid w:val="0082569B"/>
    <w:rsid w:val="00825F88"/>
    <w:rsid w:val="008300FA"/>
    <w:rsid w:val="008302C7"/>
    <w:rsid w:val="008320C0"/>
    <w:rsid w:val="00832C75"/>
    <w:rsid w:val="00837A80"/>
    <w:rsid w:val="00845A70"/>
    <w:rsid w:val="00866343"/>
    <w:rsid w:val="00896AE7"/>
    <w:rsid w:val="008A0D83"/>
    <w:rsid w:val="008A2145"/>
    <w:rsid w:val="008B0666"/>
    <w:rsid w:val="008B77B8"/>
    <w:rsid w:val="008C1373"/>
    <w:rsid w:val="008C67D9"/>
    <w:rsid w:val="008D134C"/>
    <w:rsid w:val="008E0FEF"/>
    <w:rsid w:val="008E179E"/>
    <w:rsid w:val="008F1A2B"/>
    <w:rsid w:val="008F2C9E"/>
    <w:rsid w:val="008F2EFB"/>
    <w:rsid w:val="008F5210"/>
    <w:rsid w:val="008F78E8"/>
    <w:rsid w:val="00906028"/>
    <w:rsid w:val="00931773"/>
    <w:rsid w:val="00954731"/>
    <w:rsid w:val="00961C26"/>
    <w:rsid w:val="00964BD0"/>
    <w:rsid w:val="00965B05"/>
    <w:rsid w:val="00972E74"/>
    <w:rsid w:val="00981E9B"/>
    <w:rsid w:val="0098358D"/>
    <w:rsid w:val="00993BDD"/>
    <w:rsid w:val="00996BB3"/>
    <w:rsid w:val="009A4569"/>
    <w:rsid w:val="009B085D"/>
    <w:rsid w:val="009C2693"/>
    <w:rsid w:val="009C28BC"/>
    <w:rsid w:val="009C28F4"/>
    <w:rsid w:val="009C37E8"/>
    <w:rsid w:val="009C4668"/>
    <w:rsid w:val="009D6AB6"/>
    <w:rsid w:val="009F03E4"/>
    <w:rsid w:val="009F4ED6"/>
    <w:rsid w:val="00A02C58"/>
    <w:rsid w:val="00A02DC3"/>
    <w:rsid w:val="00A05488"/>
    <w:rsid w:val="00A114C5"/>
    <w:rsid w:val="00A14DB6"/>
    <w:rsid w:val="00A165BE"/>
    <w:rsid w:val="00A2504C"/>
    <w:rsid w:val="00A27679"/>
    <w:rsid w:val="00A34FB9"/>
    <w:rsid w:val="00A5598C"/>
    <w:rsid w:val="00A564CA"/>
    <w:rsid w:val="00A57BA4"/>
    <w:rsid w:val="00A670E8"/>
    <w:rsid w:val="00A67E1F"/>
    <w:rsid w:val="00A71AE3"/>
    <w:rsid w:val="00A8077E"/>
    <w:rsid w:val="00A84207"/>
    <w:rsid w:val="00A85E13"/>
    <w:rsid w:val="00A948A6"/>
    <w:rsid w:val="00A96163"/>
    <w:rsid w:val="00AA057A"/>
    <w:rsid w:val="00AA3B2D"/>
    <w:rsid w:val="00AA6161"/>
    <w:rsid w:val="00AA77E4"/>
    <w:rsid w:val="00AB3812"/>
    <w:rsid w:val="00AB39E8"/>
    <w:rsid w:val="00AB6FA7"/>
    <w:rsid w:val="00AE1850"/>
    <w:rsid w:val="00B02917"/>
    <w:rsid w:val="00B11543"/>
    <w:rsid w:val="00B12CCD"/>
    <w:rsid w:val="00B27864"/>
    <w:rsid w:val="00B31C28"/>
    <w:rsid w:val="00B43A5F"/>
    <w:rsid w:val="00B464C5"/>
    <w:rsid w:val="00B46E94"/>
    <w:rsid w:val="00B47474"/>
    <w:rsid w:val="00B47686"/>
    <w:rsid w:val="00B565C0"/>
    <w:rsid w:val="00B772CD"/>
    <w:rsid w:val="00B90A8B"/>
    <w:rsid w:val="00B91A7E"/>
    <w:rsid w:val="00B91B37"/>
    <w:rsid w:val="00B94446"/>
    <w:rsid w:val="00BA19A6"/>
    <w:rsid w:val="00BB128F"/>
    <w:rsid w:val="00BB6423"/>
    <w:rsid w:val="00BC627C"/>
    <w:rsid w:val="00BF4A50"/>
    <w:rsid w:val="00C010F4"/>
    <w:rsid w:val="00C155E0"/>
    <w:rsid w:val="00C179C1"/>
    <w:rsid w:val="00C22661"/>
    <w:rsid w:val="00C2454D"/>
    <w:rsid w:val="00C25958"/>
    <w:rsid w:val="00C372F7"/>
    <w:rsid w:val="00C375E9"/>
    <w:rsid w:val="00C437B0"/>
    <w:rsid w:val="00C44074"/>
    <w:rsid w:val="00C556A8"/>
    <w:rsid w:val="00C57F3C"/>
    <w:rsid w:val="00C72CE9"/>
    <w:rsid w:val="00C763B6"/>
    <w:rsid w:val="00C962C0"/>
    <w:rsid w:val="00C96CAE"/>
    <w:rsid w:val="00CA1289"/>
    <w:rsid w:val="00CC1744"/>
    <w:rsid w:val="00CC49D3"/>
    <w:rsid w:val="00CF2A59"/>
    <w:rsid w:val="00CF70B7"/>
    <w:rsid w:val="00D00482"/>
    <w:rsid w:val="00D11C86"/>
    <w:rsid w:val="00D161F2"/>
    <w:rsid w:val="00D3085B"/>
    <w:rsid w:val="00D30903"/>
    <w:rsid w:val="00D4415A"/>
    <w:rsid w:val="00D44FDC"/>
    <w:rsid w:val="00D46C0D"/>
    <w:rsid w:val="00D62BC8"/>
    <w:rsid w:val="00D67D07"/>
    <w:rsid w:val="00D745E1"/>
    <w:rsid w:val="00D75952"/>
    <w:rsid w:val="00D8438E"/>
    <w:rsid w:val="00D90B90"/>
    <w:rsid w:val="00D92460"/>
    <w:rsid w:val="00DA337D"/>
    <w:rsid w:val="00DA3CA3"/>
    <w:rsid w:val="00DA6A0A"/>
    <w:rsid w:val="00DB1B10"/>
    <w:rsid w:val="00DB6477"/>
    <w:rsid w:val="00DB7AB2"/>
    <w:rsid w:val="00DC0BB1"/>
    <w:rsid w:val="00DC302A"/>
    <w:rsid w:val="00DD1675"/>
    <w:rsid w:val="00DE351D"/>
    <w:rsid w:val="00DE35F0"/>
    <w:rsid w:val="00E008B1"/>
    <w:rsid w:val="00E1393A"/>
    <w:rsid w:val="00E2162E"/>
    <w:rsid w:val="00E23C7A"/>
    <w:rsid w:val="00E2775A"/>
    <w:rsid w:val="00E362F9"/>
    <w:rsid w:val="00E36C0D"/>
    <w:rsid w:val="00E4092A"/>
    <w:rsid w:val="00E4263B"/>
    <w:rsid w:val="00E46C2E"/>
    <w:rsid w:val="00E53CE0"/>
    <w:rsid w:val="00E57F8F"/>
    <w:rsid w:val="00E65D77"/>
    <w:rsid w:val="00E66934"/>
    <w:rsid w:val="00E67B50"/>
    <w:rsid w:val="00E705AE"/>
    <w:rsid w:val="00E71268"/>
    <w:rsid w:val="00E85AA1"/>
    <w:rsid w:val="00E93D5C"/>
    <w:rsid w:val="00EA2731"/>
    <w:rsid w:val="00EA4CBB"/>
    <w:rsid w:val="00EB3410"/>
    <w:rsid w:val="00EB5104"/>
    <w:rsid w:val="00EB60C9"/>
    <w:rsid w:val="00EB61E4"/>
    <w:rsid w:val="00EB729C"/>
    <w:rsid w:val="00EC5257"/>
    <w:rsid w:val="00EE5D4B"/>
    <w:rsid w:val="00EE6DC5"/>
    <w:rsid w:val="00EF29B5"/>
    <w:rsid w:val="00EF617C"/>
    <w:rsid w:val="00F03606"/>
    <w:rsid w:val="00F03FF1"/>
    <w:rsid w:val="00F113C9"/>
    <w:rsid w:val="00F122F6"/>
    <w:rsid w:val="00F144CA"/>
    <w:rsid w:val="00F22C61"/>
    <w:rsid w:val="00F31BFA"/>
    <w:rsid w:val="00F323DC"/>
    <w:rsid w:val="00F33EC1"/>
    <w:rsid w:val="00F342F1"/>
    <w:rsid w:val="00F345BE"/>
    <w:rsid w:val="00F372F4"/>
    <w:rsid w:val="00F4029F"/>
    <w:rsid w:val="00F47C8C"/>
    <w:rsid w:val="00F605B2"/>
    <w:rsid w:val="00F64D9B"/>
    <w:rsid w:val="00F66832"/>
    <w:rsid w:val="00F66EBB"/>
    <w:rsid w:val="00F72934"/>
    <w:rsid w:val="00F80383"/>
    <w:rsid w:val="00F83B87"/>
    <w:rsid w:val="00FA6690"/>
    <w:rsid w:val="00FB35C4"/>
    <w:rsid w:val="00FB6EF4"/>
    <w:rsid w:val="00FB6F59"/>
    <w:rsid w:val="00FB7C1D"/>
    <w:rsid w:val="00FC0ED4"/>
    <w:rsid w:val="00FE2A7C"/>
    <w:rsid w:val="00FE44F3"/>
    <w:rsid w:val="00FE45DA"/>
    <w:rsid w:val="00FE4A79"/>
    <w:rsid w:val="00FE620C"/>
    <w:rsid w:val="00FF004B"/>
    <w:rsid w:val="00FF1864"/>
    <w:rsid w:val="00FF2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4A3"/>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375">
      <w:bodyDiv w:val="1"/>
      <w:marLeft w:val="0"/>
      <w:marRight w:val="0"/>
      <w:marTop w:val="0"/>
      <w:marBottom w:val="0"/>
      <w:divBdr>
        <w:top w:val="none" w:sz="0" w:space="0" w:color="auto"/>
        <w:left w:val="none" w:sz="0" w:space="0" w:color="auto"/>
        <w:bottom w:val="none" w:sz="0" w:space="0" w:color="auto"/>
        <w:right w:val="none" w:sz="0" w:space="0" w:color="auto"/>
      </w:divBdr>
    </w:div>
    <w:div w:id="50035809">
      <w:bodyDiv w:val="1"/>
      <w:marLeft w:val="0"/>
      <w:marRight w:val="0"/>
      <w:marTop w:val="0"/>
      <w:marBottom w:val="0"/>
      <w:divBdr>
        <w:top w:val="none" w:sz="0" w:space="0" w:color="auto"/>
        <w:left w:val="none" w:sz="0" w:space="0" w:color="auto"/>
        <w:bottom w:val="none" w:sz="0" w:space="0" w:color="auto"/>
        <w:right w:val="none" w:sz="0" w:space="0" w:color="auto"/>
      </w:divBdr>
    </w:div>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36731777">
      <w:bodyDiv w:val="1"/>
      <w:marLeft w:val="0"/>
      <w:marRight w:val="0"/>
      <w:marTop w:val="0"/>
      <w:marBottom w:val="0"/>
      <w:divBdr>
        <w:top w:val="none" w:sz="0" w:space="0" w:color="auto"/>
        <w:left w:val="none" w:sz="0" w:space="0" w:color="auto"/>
        <w:bottom w:val="none" w:sz="0" w:space="0" w:color="auto"/>
        <w:right w:val="none" w:sz="0" w:space="0" w:color="auto"/>
      </w:divBdr>
    </w:div>
    <w:div w:id="137888414">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191696419">
      <w:bodyDiv w:val="1"/>
      <w:marLeft w:val="0"/>
      <w:marRight w:val="0"/>
      <w:marTop w:val="0"/>
      <w:marBottom w:val="0"/>
      <w:divBdr>
        <w:top w:val="none" w:sz="0" w:space="0" w:color="auto"/>
        <w:left w:val="none" w:sz="0" w:space="0" w:color="auto"/>
        <w:bottom w:val="none" w:sz="0" w:space="0" w:color="auto"/>
        <w:right w:val="none" w:sz="0" w:space="0" w:color="auto"/>
      </w:divBdr>
    </w:div>
    <w:div w:id="192231327">
      <w:bodyDiv w:val="1"/>
      <w:marLeft w:val="0"/>
      <w:marRight w:val="0"/>
      <w:marTop w:val="0"/>
      <w:marBottom w:val="0"/>
      <w:divBdr>
        <w:top w:val="none" w:sz="0" w:space="0" w:color="auto"/>
        <w:left w:val="none" w:sz="0" w:space="0" w:color="auto"/>
        <w:bottom w:val="none" w:sz="0" w:space="0" w:color="auto"/>
        <w:right w:val="none" w:sz="0" w:space="0" w:color="auto"/>
      </w:divBdr>
    </w:div>
    <w:div w:id="215355517">
      <w:bodyDiv w:val="1"/>
      <w:marLeft w:val="0"/>
      <w:marRight w:val="0"/>
      <w:marTop w:val="0"/>
      <w:marBottom w:val="0"/>
      <w:divBdr>
        <w:top w:val="none" w:sz="0" w:space="0" w:color="auto"/>
        <w:left w:val="none" w:sz="0" w:space="0" w:color="auto"/>
        <w:bottom w:val="none" w:sz="0" w:space="0" w:color="auto"/>
        <w:right w:val="none" w:sz="0" w:space="0" w:color="auto"/>
      </w:divBdr>
    </w:div>
    <w:div w:id="221723127">
      <w:bodyDiv w:val="1"/>
      <w:marLeft w:val="0"/>
      <w:marRight w:val="0"/>
      <w:marTop w:val="0"/>
      <w:marBottom w:val="0"/>
      <w:divBdr>
        <w:top w:val="none" w:sz="0" w:space="0" w:color="auto"/>
        <w:left w:val="none" w:sz="0" w:space="0" w:color="auto"/>
        <w:bottom w:val="none" w:sz="0" w:space="0" w:color="auto"/>
        <w:right w:val="none" w:sz="0" w:space="0" w:color="auto"/>
      </w:divBdr>
    </w:div>
    <w:div w:id="227545188">
      <w:bodyDiv w:val="1"/>
      <w:marLeft w:val="0"/>
      <w:marRight w:val="0"/>
      <w:marTop w:val="0"/>
      <w:marBottom w:val="0"/>
      <w:divBdr>
        <w:top w:val="none" w:sz="0" w:space="0" w:color="auto"/>
        <w:left w:val="none" w:sz="0" w:space="0" w:color="auto"/>
        <w:bottom w:val="none" w:sz="0" w:space="0" w:color="auto"/>
        <w:right w:val="none" w:sz="0" w:space="0" w:color="auto"/>
      </w:divBdr>
    </w:div>
    <w:div w:id="270550212">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279536783">
      <w:bodyDiv w:val="1"/>
      <w:marLeft w:val="0"/>
      <w:marRight w:val="0"/>
      <w:marTop w:val="0"/>
      <w:marBottom w:val="0"/>
      <w:divBdr>
        <w:top w:val="none" w:sz="0" w:space="0" w:color="auto"/>
        <w:left w:val="none" w:sz="0" w:space="0" w:color="auto"/>
        <w:bottom w:val="none" w:sz="0" w:space="0" w:color="auto"/>
        <w:right w:val="none" w:sz="0" w:space="0" w:color="auto"/>
      </w:divBdr>
    </w:div>
    <w:div w:id="281620162">
      <w:bodyDiv w:val="1"/>
      <w:marLeft w:val="0"/>
      <w:marRight w:val="0"/>
      <w:marTop w:val="0"/>
      <w:marBottom w:val="0"/>
      <w:divBdr>
        <w:top w:val="none" w:sz="0" w:space="0" w:color="auto"/>
        <w:left w:val="none" w:sz="0" w:space="0" w:color="auto"/>
        <w:bottom w:val="none" w:sz="0" w:space="0" w:color="auto"/>
        <w:right w:val="none" w:sz="0" w:space="0" w:color="auto"/>
      </w:divBdr>
    </w:div>
    <w:div w:id="287592740">
      <w:bodyDiv w:val="1"/>
      <w:marLeft w:val="0"/>
      <w:marRight w:val="0"/>
      <w:marTop w:val="0"/>
      <w:marBottom w:val="0"/>
      <w:divBdr>
        <w:top w:val="none" w:sz="0" w:space="0" w:color="auto"/>
        <w:left w:val="none" w:sz="0" w:space="0" w:color="auto"/>
        <w:bottom w:val="none" w:sz="0" w:space="0" w:color="auto"/>
        <w:right w:val="none" w:sz="0" w:space="0" w:color="auto"/>
      </w:divBdr>
    </w:div>
    <w:div w:id="288516030">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313490775">
      <w:bodyDiv w:val="1"/>
      <w:marLeft w:val="0"/>
      <w:marRight w:val="0"/>
      <w:marTop w:val="0"/>
      <w:marBottom w:val="0"/>
      <w:divBdr>
        <w:top w:val="none" w:sz="0" w:space="0" w:color="auto"/>
        <w:left w:val="none" w:sz="0" w:space="0" w:color="auto"/>
        <w:bottom w:val="none" w:sz="0" w:space="0" w:color="auto"/>
        <w:right w:val="none" w:sz="0" w:space="0" w:color="auto"/>
      </w:divBdr>
    </w:div>
    <w:div w:id="322053107">
      <w:bodyDiv w:val="1"/>
      <w:marLeft w:val="0"/>
      <w:marRight w:val="0"/>
      <w:marTop w:val="0"/>
      <w:marBottom w:val="0"/>
      <w:divBdr>
        <w:top w:val="none" w:sz="0" w:space="0" w:color="auto"/>
        <w:left w:val="none" w:sz="0" w:space="0" w:color="auto"/>
        <w:bottom w:val="none" w:sz="0" w:space="0" w:color="auto"/>
        <w:right w:val="none" w:sz="0" w:space="0" w:color="auto"/>
      </w:divBdr>
    </w:div>
    <w:div w:id="323822651">
      <w:bodyDiv w:val="1"/>
      <w:marLeft w:val="0"/>
      <w:marRight w:val="0"/>
      <w:marTop w:val="0"/>
      <w:marBottom w:val="0"/>
      <w:divBdr>
        <w:top w:val="none" w:sz="0" w:space="0" w:color="auto"/>
        <w:left w:val="none" w:sz="0" w:space="0" w:color="auto"/>
        <w:bottom w:val="none" w:sz="0" w:space="0" w:color="auto"/>
        <w:right w:val="none" w:sz="0" w:space="0" w:color="auto"/>
      </w:divBdr>
    </w:div>
    <w:div w:id="378093179">
      <w:bodyDiv w:val="1"/>
      <w:marLeft w:val="0"/>
      <w:marRight w:val="0"/>
      <w:marTop w:val="0"/>
      <w:marBottom w:val="0"/>
      <w:divBdr>
        <w:top w:val="none" w:sz="0" w:space="0" w:color="auto"/>
        <w:left w:val="none" w:sz="0" w:space="0" w:color="auto"/>
        <w:bottom w:val="none" w:sz="0" w:space="0" w:color="auto"/>
        <w:right w:val="none" w:sz="0" w:space="0" w:color="auto"/>
      </w:divBdr>
    </w:div>
    <w:div w:id="379670333">
      <w:bodyDiv w:val="1"/>
      <w:marLeft w:val="0"/>
      <w:marRight w:val="0"/>
      <w:marTop w:val="0"/>
      <w:marBottom w:val="0"/>
      <w:divBdr>
        <w:top w:val="none" w:sz="0" w:space="0" w:color="auto"/>
        <w:left w:val="none" w:sz="0" w:space="0" w:color="auto"/>
        <w:bottom w:val="none" w:sz="0" w:space="0" w:color="auto"/>
        <w:right w:val="none" w:sz="0" w:space="0" w:color="auto"/>
      </w:divBdr>
    </w:div>
    <w:div w:id="385683838">
      <w:bodyDiv w:val="1"/>
      <w:marLeft w:val="0"/>
      <w:marRight w:val="0"/>
      <w:marTop w:val="0"/>
      <w:marBottom w:val="0"/>
      <w:divBdr>
        <w:top w:val="none" w:sz="0" w:space="0" w:color="auto"/>
        <w:left w:val="none" w:sz="0" w:space="0" w:color="auto"/>
        <w:bottom w:val="none" w:sz="0" w:space="0" w:color="auto"/>
        <w:right w:val="none" w:sz="0" w:space="0" w:color="auto"/>
      </w:divBdr>
    </w:div>
    <w:div w:id="412165251">
      <w:bodyDiv w:val="1"/>
      <w:marLeft w:val="0"/>
      <w:marRight w:val="0"/>
      <w:marTop w:val="0"/>
      <w:marBottom w:val="0"/>
      <w:divBdr>
        <w:top w:val="none" w:sz="0" w:space="0" w:color="auto"/>
        <w:left w:val="none" w:sz="0" w:space="0" w:color="auto"/>
        <w:bottom w:val="none" w:sz="0" w:space="0" w:color="auto"/>
        <w:right w:val="none" w:sz="0" w:space="0" w:color="auto"/>
      </w:divBdr>
    </w:div>
    <w:div w:id="419134350">
      <w:bodyDiv w:val="1"/>
      <w:marLeft w:val="0"/>
      <w:marRight w:val="0"/>
      <w:marTop w:val="0"/>
      <w:marBottom w:val="0"/>
      <w:divBdr>
        <w:top w:val="none" w:sz="0" w:space="0" w:color="auto"/>
        <w:left w:val="none" w:sz="0" w:space="0" w:color="auto"/>
        <w:bottom w:val="none" w:sz="0" w:space="0" w:color="auto"/>
        <w:right w:val="none" w:sz="0" w:space="0" w:color="auto"/>
      </w:divBdr>
    </w:div>
    <w:div w:id="422995575">
      <w:bodyDiv w:val="1"/>
      <w:marLeft w:val="0"/>
      <w:marRight w:val="0"/>
      <w:marTop w:val="0"/>
      <w:marBottom w:val="0"/>
      <w:divBdr>
        <w:top w:val="none" w:sz="0" w:space="0" w:color="auto"/>
        <w:left w:val="none" w:sz="0" w:space="0" w:color="auto"/>
        <w:bottom w:val="none" w:sz="0" w:space="0" w:color="auto"/>
        <w:right w:val="none" w:sz="0" w:space="0" w:color="auto"/>
      </w:divBdr>
    </w:div>
    <w:div w:id="427583453">
      <w:bodyDiv w:val="1"/>
      <w:marLeft w:val="0"/>
      <w:marRight w:val="0"/>
      <w:marTop w:val="0"/>
      <w:marBottom w:val="0"/>
      <w:divBdr>
        <w:top w:val="none" w:sz="0" w:space="0" w:color="auto"/>
        <w:left w:val="none" w:sz="0" w:space="0" w:color="auto"/>
        <w:bottom w:val="none" w:sz="0" w:space="0" w:color="auto"/>
        <w:right w:val="none" w:sz="0" w:space="0" w:color="auto"/>
      </w:divBdr>
    </w:div>
    <w:div w:id="430858661">
      <w:bodyDiv w:val="1"/>
      <w:marLeft w:val="0"/>
      <w:marRight w:val="0"/>
      <w:marTop w:val="0"/>
      <w:marBottom w:val="0"/>
      <w:divBdr>
        <w:top w:val="none" w:sz="0" w:space="0" w:color="auto"/>
        <w:left w:val="none" w:sz="0" w:space="0" w:color="auto"/>
        <w:bottom w:val="none" w:sz="0" w:space="0" w:color="auto"/>
        <w:right w:val="none" w:sz="0" w:space="0" w:color="auto"/>
      </w:divBdr>
    </w:div>
    <w:div w:id="441848015">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81043711">
      <w:bodyDiv w:val="1"/>
      <w:marLeft w:val="0"/>
      <w:marRight w:val="0"/>
      <w:marTop w:val="0"/>
      <w:marBottom w:val="0"/>
      <w:divBdr>
        <w:top w:val="none" w:sz="0" w:space="0" w:color="auto"/>
        <w:left w:val="none" w:sz="0" w:space="0" w:color="auto"/>
        <w:bottom w:val="none" w:sz="0" w:space="0" w:color="auto"/>
        <w:right w:val="none" w:sz="0" w:space="0" w:color="auto"/>
      </w:divBdr>
    </w:div>
    <w:div w:id="491919437">
      <w:bodyDiv w:val="1"/>
      <w:marLeft w:val="0"/>
      <w:marRight w:val="0"/>
      <w:marTop w:val="0"/>
      <w:marBottom w:val="0"/>
      <w:divBdr>
        <w:top w:val="none" w:sz="0" w:space="0" w:color="auto"/>
        <w:left w:val="none" w:sz="0" w:space="0" w:color="auto"/>
        <w:bottom w:val="none" w:sz="0" w:space="0" w:color="auto"/>
        <w:right w:val="none" w:sz="0" w:space="0" w:color="auto"/>
      </w:divBdr>
    </w:div>
    <w:div w:id="495269126">
      <w:bodyDiv w:val="1"/>
      <w:marLeft w:val="0"/>
      <w:marRight w:val="0"/>
      <w:marTop w:val="0"/>
      <w:marBottom w:val="0"/>
      <w:divBdr>
        <w:top w:val="none" w:sz="0" w:space="0" w:color="auto"/>
        <w:left w:val="none" w:sz="0" w:space="0" w:color="auto"/>
        <w:bottom w:val="none" w:sz="0" w:space="0" w:color="auto"/>
        <w:right w:val="none" w:sz="0" w:space="0" w:color="auto"/>
      </w:divBdr>
    </w:div>
    <w:div w:id="495649474">
      <w:bodyDiv w:val="1"/>
      <w:marLeft w:val="0"/>
      <w:marRight w:val="0"/>
      <w:marTop w:val="0"/>
      <w:marBottom w:val="0"/>
      <w:divBdr>
        <w:top w:val="none" w:sz="0" w:space="0" w:color="auto"/>
        <w:left w:val="none" w:sz="0" w:space="0" w:color="auto"/>
        <w:bottom w:val="none" w:sz="0" w:space="0" w:color="auto"/>
        <w:right w:val="none" w:sz="0" w:space="0" w:color="auto"/>
      </w:divBdr>
    </w:div>
    <w:div w:id="496269861">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54656215">
      <w:bodyDiv w:val="1"/>
      <w:marLeft w:val="0"/>
      <w:marRight w:val="0"/>
      <w:marTop w:val="0"/>
      <w:marBottom w:val="0"/>
      <w:divBdr>
        <w:top w:val="none" w:sz="0" w:space="0" w:color="auto"/>
        <w:left w:val="none" w:sz="0" w:space="0" w:color="auto"/>
        <w:bottom w:val="none" w:sz="0" w:space="0" w:color="auto"/>
        <w:right w:val="none" w:sz="0" w:space="0" w:color="auto"/>
      </w:divBdr>
    </w:div>
    <w:div w:id="566695690">
      <w:bodyDiv w:val="1"/>
      <w:marLeft w:val="0"/>
      <w:marRight w:val="0"/>
      <w:marTop w:val="0"/>
      <w:marBottom w:val="0"/>
      <w:divBdr>
        <w:top w:val="none" w:sz="0" w:space="0" w:color="auto"/>
        <w:left w:val="none" w:sz="0" w:space="0" w:color="auto"/>
        <w:bottom w:val="none" w:sz="0" w:space="0" w:color="auto"/>
        <w:right w:val="none" w:sz="0" w:space="0" w:color="auto"/>
      </w:divBdr>
    </w:div>
    <w:div w:id="567886354">
      <w:bodyDiv w:val="1"/>
      <w:marLeft w:val="0"/>
      <w:marRight w:val="0"/>
      <w:marTop w:val="0"/>
      <w:marBottom w:val="0"/>
      <w:divBdr>
        <w:top w:val="none" w:sz="0" w:space="0" w:color="auto"/>
        <w:left w:val="none" w:sz="0" w:space="0" w:color="auto"/>
        <w:bottom w:val="none" w:sz="0" w:space="0" w:color="auto"/>
        <w:right w:val="none" w:sz="0" w:space="0" w:color="auto"/>
      </w:divBdr>
    </w:div>
    <w:div w:id="574049161">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642854595">
      <w:bodyDiv w:val="1"/>
      <w:marLeft w:val="0"/>
      <w:marRight w:val="0"/>
      <w:marTop w:val="0"/>
      <w:marBottom w:val="0"/>
      <w:divBdr>
        <w:top w:val="none" w:sz="0" w:space="0" w:color="auto"/>
        <w:left w:val="none" w:sz="0" w:space="0" w:color="auto"/>
        <w:bottom w:val="none" w:sz="0" w:space="0" w:color="auto"/>
        <w:right w:val="none" w:sz="0" w:space="0" w:color="auto"/>
      </w:divBdr>
    </w:div>
    <w:div w:id="668870986">
      <w:bodyDiv w:val="1"/>
      <w:marLeft w:val="0"/>
      <w:marRight w:val="0"/>
      <w:marTop w:val="0"/>
      <w:marBottom w:val="0"/>
      <w:divBdr>
        <w:top w:val="none" w:sz="0" w:space="0" w:color="auto"/>
        <w:left w:val="none" w:sz="0" w:space="0" w:color="auto"/>
        <w:bottom w:val="none" w:sz="0" w:space="0" w:color="auto"/>
        <w:right w:val="none" w:sz="0" w:space="0" w:color="auto"/>
      </w:divBdr>
    </w:div>
    <w:div w:id="673188541">
      <w:bodyDiv w:val="1"/>
      <w:marLeft w:val="0"/>
      <w:marRight w:val="0"/>
      <w:marTop w:val="0"/>
      <w:marBottom w:val="0"/>
      <w:divBdr>
        <w:top w:val="none" w:sz="0" w:space="0" w:color="auto"/>
        <w:left w:val="none" w:sz="0" w:space="0" w:color="auto"/>
        <w:bottom w:val="none" w:sz="0" w:space="0" w:color="auto"/>
        <w:right w:val="none" w:sz="0" w:space="0" w:color="auto"/>
      </w:divBdr>
    </w:div>
    <w:div w:id="687174878">
      <w:bodyDiv w:val="1"/>
      <w:marLeft w:val="0"/>
      <w:marRight w:val="0"/>
      <w:marTop w:val="0"/>
      <w:marBottom w:val="0"/>
      <w:divBdr>
        <w:top w:val="none" w:sz="0" w:space="0" w:color="auto"/>
        <w:left w:val="none" w:sz="0" w:space="0" w:color="auto"/>
        <w:bottom w:val="none" w:sz="0" w:space="0" w:color="auto"/>
        <w:right w:val="none" w:sz="0" w:space="0" w:color="auto"/>
      </w:divBdr>
    </w:div>
    <w:div w:id="755591369">
      <w:bodyDiv w:val="1"/>
      <w:marLeft w:val="0"/>
      <w:marRight w:val="0"/>
      <w:marTop w:val="0"/>
      <w:marBottom w:val="0"/>
      <w:divBdr>
        <w:top w:val="none" w:sz="0" w:space="0" w:color="auto"/>
        <w:left w:val="none" w:sz="0" w:space="0" w:color="auto"/>
        <w:bottom w:val="none" w:sz="0" w:space="0" w:color="auto"/>
        <w:right w:val="none" w:sz="0" w:space="0" w:color="auto"/>
      </w:divBdr>
    </w:div>
    <w:div w:id="774978977">
      <w:bodyDiv w:val="1"/>
      <w:marLeft w:val="0"/>
      <w:marRight w:val="0"/>
      <w:marTop w:val="0"/>
      <w:marBottom w:val="0"/>
      <w:divBdr>
        <w:top w:val="none" w:sz="0" w:space="0" w:color="auto"/>
        <w:left w:val="none" w:sz="0" w:space="0" w:color="auto"/>
        <w:bottom w:val="none" w:sz="0" w:space="0" w:color="auto"/>
        <w:right w:val="none" w:sz="0" w:space="0" w:color="auto"/>
      </w:divBdr>
    </w:div>
    <w:div w:id="787428231">
      <w:bodyDiv w:val="1"/>
      <w:marLeft w:val="0"/>
      <w:marRight w:val="0"/>
      <w:marTop w:val="0"/>
      <w:marBottom w:val="0"/>
      <w:divBdr>
        <w:top w:val="none" w:sz="0" w:space="0" w:color="auto"/>
        <w:left w:val="none" w:sz="0" w:space="0" w:color="auto"/>
        <w:bottom w:val="none" w:sz="0" w:space="0" w:color="auto"/>
        <w:right w:val="none" w:sz="0" w:space="0" w:color="auto"/>
      </w:divBdr>
    </w:div>
    <w:div w:id="803889394">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814446151">
      <w:bodyDiv w:val="1"/>
      <w:marLeft w:val="0"/>
      <w:marRight w:val="0"/>
      <w:marTop w:val="0"/>
      <w:marBottom w:val="0"/>
      <w:divBdr>
        <w:top w:val="none" w:sz="0" w:space="0" w:color="auto"/>
        <w:left w:val="none" w:sz="0" w:space="0" w:color="auto"/>
        <w:bottom w:val="none" w:sz="0" w:space="0" w:color="auto"/>
        <w:right w:val="none" w:sz="0" w:space="0" w:color="auto"/>
      </w:divBdr>
    </w:div>
    <w:div w:id="871000146">
      <w:bodyDiv w:val="1"/>
      <w:marLeft w:val="0"/>
      <w:marRight w:val="0"/>
      <w:marTop w:val="0"/>
      <w:marBottom w:val="0"/>
      <w:divBdr>
        <w:top w:val="none" w:sz="0" w:space="0" w:color="auto"/>
        <w:left w:val="none" w:sz="0" w:space="0" w:color="auto"/>
        <w:bottom w:val="none" w:sz="0" w:space="0" w:color="auto"/>
        <w:right w:val="none" w:sz="0" w:space="0" w:color="auto"/>
      </w:divBdr>
    </w:div>
    <w:div w:id="885292762">
      <w:bodyDiv w:val="1"/>
      <w:marLeft w:val="0"/>
      <w:marRight w:val="0"/>
      <w:marTop w:val="0"/>
      <w:marBottom w:val="0"/>
      <w:divBdr>
        <w:top w:val="none" w:sz="0" w:space="0" w:color="auto"/>
        <w:left w:val="none" w:sz="0" w:space="0" w:color="auto"/>
        <w:bottom w:val="none" w:sz="0" w:space="0" w:color="auto"/>
        <w:right w:val="none" w:sz="0" w:space="0" w:color="auto"/>
      </w:divBdr>
    </w:div>
    <w:div w:id="892959191">
      <w:bodyDiv w:val="1"/>
      <w:marLeft w:val="0"/>
      <w:marRight w:val="0"/>
      <w:marTop w:val="0"/>
      <w:marBottom w:val="0"/>
      <w:divBdr>
        <w:top w:val="none" w:sz="0" w:space="0" w:color="auto"/>
        <w:left w:val="none" w:sz="0" w:space="0" w:color="auto"/>
        <w:bottom w:val="none" w:sz="0" w:space="0" w:color="auto"/>
        <w:right w:val="none" w:sz="0" w:space="0" w:color="auto"/>
      </w:divBdr>
    </w:div>
    <w:div w:id="894897261">
      <w:bodyDiv w:val="1"/>
      <w:marLeft w:val="0"/>
      <w:marRight w:val="0"/>
      <w:marTop w:val="0"/>
      <w:marBottom w:val="0"/>
      <w:divBdr>
        <w:top w:val="none" w:sz="0" w:space="0" w:color="auto"/>
        <w:left w:val="none" w:sz="0" w:space="0" w:color="auto"/>
        <w:bottom w:val="none" w:sz="0" w:space="0" w:color="auto"/>
        <w:right w:val="none" w:sz="0" w:space="0" w:color="auto"/>
      </w:divBdr>
    </w:div>
    <w:div w:id="895429991">
      <w:bodyDiv w:val="1"/>
      <w:marLeft w:val="0"/>
      <w:marRight w:val="0"/>
      <w:marTop w:val="0"/>
      <w:marBottom w:val="0"/>
      <w:divBdr>
        <w:top w:val="none" w:sz="0" w:space="0" w:color="auto"/>
        <w:left w:val="none" w:sz="0" w:space="0" w:color="auto"/>
        <w:bottom w:val="none" w:sz="0" w:space="0" w:color="auto"/>
        <w:right w:val="none" w:sz="0" w:space="0" w:color="auto"/>
      </w:divBdr>
    </w:div>
    <w:div w:id="903107484">
      <w:bodyDiv w:val="1"/>
      <w:marLeft w:val="0"/>
      <w:marRight w:val="0"/>
      <w:marTop w:val="0"/>
      <w:marBottom w:val="0"/>
      <w:divBdr>
        <w:top w:val="none" w:sz="0" w:space="0" w:color="auto"/>
        <w:left w:val="none" w:sz="0" w:space="0" w:color="auto"/>
        <w:bottom w:val="none" w:sz="0" w:space="0" w:color="auto"/>
        <w:right w:val="none" w:sz="0" w:space="0" w:color="auto"/>
      </w:divBdr>
    </w:div>
    <w:div w:id="908730432">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292690">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27419763">
      <w:bodyDiv w:val="1"/>
      <w:marLeft w:val="0"/>
      <w:marRight w:val="0"/>
      <w:marTop w:val="0"/>
      <w:marBottom w:val="0"/>
      <w:divBdr>
        <w:top w:val="none" w:sz="0" w:space="0" w:color="auto"/>
        <w:left w:val="none" w:sz="0" w:space="0" w:color="auto"/>
        <w:bottom w:val="none" w:sz="0" w:space="0" w:color="auto"/>
        <w:right w:val="none" w:sz="0" w:space="0" w:color="auto"/>
      </w:divBdr>
    </w:div>
    <w:div w:id="933516221">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956958032">
      <w:bodyDiv w:val="1"/>
      <w:marLeft w:val="0"/>
      <w:marRight w:val="0"/>
      <w:marTop w:val="0"/>
      <w:marBottom w:val="0"/>
      <w:divBdr>
        <w:top w:val="none" w:sz="0" w:space="0" w:color="auto"/>
        <w:left w:val="none" w:sz="0" w:space="0" w:color="auto"/>
        <w:bottom w:val="none" w:sz="0" w:space="0" w:color="auto"/>
        <w:right w:val="none" w:sz="0" w:space="0" w:color="auto"/>
      </w:divBdr>
    </w:div>
    <w:div w:id="1008287625">
      <w:bodyDiv w:val="1"/>
      <w:marLeft w:val="0"/>
      <w:marRight w:val="0"/>
      <w:marTop w:val="0"/>
      <w:marBottom w:val="0"/>
      <w:divBdr>
        <w:top w:val="none" w:sz="0" w:space="0" w:color="auto"/>
        <w:left w:val="none" w:sz="0" w:space="0" w:color="auto"/>
        <w:bottom w:val="none" w:sz="0" w:space="0" w:color="auto"/>
        <w:right w:val="none" w:sz="0" w:space="0" w:color="auto"/>
      </w:divBdr>
    </w:div>
    <w:div w:id="1011108844">
      <w:bodyDiv w:val="1"/>
      <w:marLeft w:val="0"/>
      <w:marRight w:val="0"/>
      <w:marTop w:val="0"/>
      <w:marBottom w:val="0"/>
      <w:divBdr>
        <w:top w:val="none" w:sz="0" w:space="0" w:color="auto"/>
        <w:left w:val="none" w:sz="0" w:space="0" w:color="auto"/>
        <w:bottom w:val="none" w:sz="0" w:space="0" w:color="auto"/>
        <w:right w:val="none" w:sz="0" w:space="0" w:color="auto"/>
      </w:divBdr>
    </w:div>
    <w:div w:id="1086145909">
      <w:bodyDiv w:val="1"/>
      <w:marLeft w:val="0"/>
      <w:marRight w:val="0"/>
      <w:marTop w:val="0"/>
      <w:marBottom w:val="0"/>
      <w:divBdr>
        <w:top w:val="none" w:sz="0" w:space="0" w:color="auto"/>
        <w:left w:val="none" w:sz="0" w:space="0" w:color="auto"/>
        <w:bottom w:val="none" w:sz="0" w:space="0" w:color="auto"/>
        <w:right w:val="none" w:sz="0" w:space="0" w:color="auto"/>
      </w:divBdr>
    </w:div>
    <w:div w:id="1104182517">
      <w:bodyDiv w:val="1"/>
      <w:marLeft w:val="0"/>
      <w:marRight w:val="0"/>
      <w:marTop w:val="0"/>
      <w:marBottom w:val="0"/>
      <w:divBdr>
        <w:top w:val="none" w:sz="0" w:space="0" w:color="auto"/>
        <w:left w:val="none" w:sz="0" w:space="0" w:color="auto"/>
        <w:bottom w:val="none" w:sz="0" w:space="0" w:color="auto"/>
        <w:right w:val="none" w:sz="0" w:space="0" w:color="auto"/>
      </w:divBdr>
    </w:div>
    <w:div w:id="1141575010">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146700300">
      <w:bodyDiv w:val="1"/>
      <w:marLeft w:val="0"/>
      <w:marRight w:val="0"/>
      <w:marTop w:val="0"/>
      <w:marBottom w:val="0"/>
      <w:divBdr>
        <w:top w:val="none" w:sz="0" w:space="0" w:color="auto"/>
        <w:left w:val="none" w:sz="0" w:space="0" w:color="auto"/>
        <w:bottom w:val="none" w:sz="0" w:space="0" w:color="auto"/>
        <w:right w:val="none" w:sz="0" w:space="0" w:color="auto"/>
      </w:divBdr>
    </w:div>
    <w:div w:id="1171214658">
      <w:bodyDiv w:val="1"/>
      <w:marLeft w:val="0"/>
      <w:marRight w:val="0"/>
      <w:marTop w:val="0"/>
      <w:marBottom w:val="0"/>
      <w:divBdr>
        <w:top w:val="none" w:sz="0" w:space="0" w:color="auto"/>
        <w:left w:val="none" w:sz="0" w:space="0" w:color="auto"/>
        <w:bottom w:val="none" w:sz="0" w:space="0" w:color="auto"/>
        <w:right w:val="none" w:sz="0" w:space="0" w:color="auto"/>
      </w:divBdr>
    </w:div>
    <w:div w:id="1195145555">
      <w:bodyDiv w:val="1"/>
      <w:marLeft w:val="0"/>
      <w:marRight w:val="0"/>
      <w:marTop w:val="0"/>
      <w:marBottom w:val="0"/>
      <w:divBdr>
        <w:top w:val="none" w:sz="0" w:space="0" w:color="auto"/>
        <w:left w:val="none" w:sz="0" w:space="0" w:color="auto"/>
        <w:bottom w:val="none" w:sz="0" w:space="0" w:color="auto"/>
        <w:right w:val="none" w:sz="0" w:space="0" w:color="auto"/>
      </w:divBdr>
    </w:div>
    <w:div w:id="1206135633">
      <w:bodyDiv w:val="1"/>
      <w:marLeft w:val="0"/>
      <w:marRight w:val="0"/>
      <w:marTop w:val="0"/>
      <w:marBottom w:val="0"/>
      <w:divBdr>
        <w:top w:val="none" w:sz="0" w:space="0" w:color="auto"/>
        <w:left w:val="none" w:sz="0" w:space="0" w:color="auto"/>
        <w:bottom w:val="none" w:sz="0" w:space="0" w:color="auto"/>
        <w:right w:val="none" w:sz="0" w:space="0" w:color="auto"/>
      </w:divBdr>
    </w:div>
    <w:div w:id="1223247629">
      <w:bodyDiv w:val="1"/>
      <w:marLeft w:val="0"/>
      <w:marRight w:val="0"/>
      <w:marTop w:val="0"/>
      <w:marBottom w:val="0"/>
      <w:divBdr>
        <w:top w:val="none" w:sz="0" w:space="0" w:color="auto"/>
        <w:left w:val="none" w:sz="0" w:space="0" w:color="auto"/>
        <w:bottom w:val="none" w:sz="0" w:space="0" w:color="auto"/>
        <w:right w:val="none" w:sz="0" w:space="0" w:color="auto"/>
      </w:divBdr>
    </w:div>
    <w:div w:id="1241255162">
      <w:bodyDiv w:val="1"/>
      <w:marLeft w:val="0"/>
      <w:marRight w:val="0"/>
      <w:marTop w:val="0"/>
      <w:marBottom w:val="0"/>
      <w:divBdr>
        <w:top w:val="none" w:sz="0" w:space="0" w:color="auto"/>
        <w:left w:val="none" w:sz="0" w:space="0" w:color="auto"/>
        <w:bottom w:val="none" w:sz="0" w:space="0" w:color="auto"/>
        <w:right w:val="none" w:sz="0" w:space="0" w:color="auto"/>
      </w:divBdr>
    </w:div>
    <w:div w:id="1269393844">
      <w:bodyDiv w:val="1"/>
      <w:marLeft w:val="0"/>
      <w:marRight w:val="0"/>
      <w:marTop w:val="0"/>
      <w:marBottom w:val="0"/>
      <w:divBdr>
        <w:top w:val="none" w:sz="0" w:space="0" w:color="auto"/>
        <w:left w:val="none" w:sz="0" w:space="0" w:color="auto"/>
        <w:bottom w:val="none" w:sz="0" w:space="0" w:color="auto"/>
        <w:right w:val="none" w:sz="0" w:space="0" w:color="auto"/>
      </w:divBdr>
    </w:div>
    <w:div w:id="128295285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359038382">
      <w:bodyDiv w:val="1"/>
      <w:marLeft w:val="0"/>
      <w:marRight w:val="0"/>
      <w:marTop w:val="0"/>
      <w:marBottom w:val="0"/>
      <w:divBdr>
        <w:top w:val="none" w:sz="0" w:space="0" w:color="auto"/>
        <w:left w:val="none" w:sz="0" w:space="0" w:color="auto"/>
        <w:bottom w:val="none" w:sz="0" w:space="0" w:color="auto"/>
        <w:right w:val="none" w:sz="0" w:space="0" w:color="auto"/>
      </w:divBdr>
    </w:div>
    <w:div w:id="1361012471">
      <w:bodyDiv w:val="1"/>
      <w:marLeft w:val="0"/>
      <w:marRight w:val="0"/>
      <w:marTop w:val="0"/>
      <w:marBottom w:val="0"/>
      <w:divBdr>
        <w:top w:val="none" w:sz="0" w:space="0" w:color="auto"/>
        <w:left w:val="none" w:sz="0" w:space="0" w:color="auto"/>
        <w:bottom w:val="none" w:sz="0" w:space="0" w:color="auto"/>
        <w:right w:val="none" w:sz="0" w:space="0" w:color="auto"/>
      </w:divBdr>
    </w:div>
    <w:div w:id="1378776312">
      <w:bodyDiv w:val="1"/>
      <w:marLeft w:val="0"/>
      <w:marRight w:val="0"/>
      <w:marTop w:val="0"/>
      <w:marBottom w:val="0"/>
      <w:divBdr>
        <w:top w:val="none" w:sz="0" w:space="0" w:color="auto"/>
        <w:left w:val="none" w:sz="0" w:space="0" w:color="auto"/>
        <w:bottom w:val="none" w:sz="0" w:space="0" w:color="auto"/>
        <w:right w:val="none" w:sz="0" w:space="0" w:color="auto"/>
      </w:divBdr>
    </w:div>
    <w:div w:id="1381057069">
      <w:bodyDiv w:val="1"/>
      <w:marLeft w:val="0"/>
      <w:marRight w:val="0"/>
      <w:marTop w:val="0"/>
      <w:marBottom w:val="0"/>
      <w:divBdr>
        <w:top w:val="none" w:sz="0" w:space="0" w:color="auto"/>
        <w:left w:val="none" w:sz="0" w:space="0" w:color="auto"/>
        <w:bottom w:val="none" w:sz="0" w:space="0" w:color="auto"/>
        <w:right w:val="none" w:sz="0" w:space="0" w:color="auto"/>
      </w:divBdr>
    </w:div>
    <w:div w:id="1395736896">
      <w:bodyDiv w:val="1"/>
      <w:marLeft w:val="0"/>
      <w:marRight w:val="0"/>
      <w:marTop w:val="0"/>
      <w:marBottom w:val="0"/>
      <w:divBdr>
        <w:top w:val="none" w:sz="0" w:space="0" w:color="auto"/>
        <w:left w:val="none" w:sz="0" w:space="0" w:color="auto"/>
        <w:bottom w:val="none" w:sz="0" w:space="0" w:color="auto"/>
        <w:right w:val="none" w:sz="0" w:space="0" w:color="auto"/>
      </w:divBdr>
    </w:div>
    <w:div w:id="1437288183">
      <w:bodyDiv w:val="1"/>
      <w:marLeft w:val="0"/>
      <w:marRight w:val="0"/>
      <w:marTop w:val="0"/>
      <w:marBottom w:val="0"/>
      <w:divBdr>
        <w:top w:val="none" w:sz="0" w:space="0" w:color="auto"/>
        <w:left w:val="none" w:sz="0" w:space="0" w:color="auto"/>
        <w:bottom w:val="none" w:sz="0" w:space="0" w:color="auto"/>
        <w:right w:val="none" w:sz="0" w:space="0" w:color="auto"/>
      </w:divBdr>
    </w:div>
    <w:div w:id="1439175017">
      <w:bodyDiv w:val="1"/>
      <w:marLeft w:val="0"/>
      <w:marRight w:val="0"/>
      <w:marTop w:val="0"/>
      <w:marBottom w:val="0"/>
      <w:divBdr>
        <w:top w:val="none" w:sz="0" w:space="0" w:color="auto"/>
        <w:left w:val="none" w:sz="0" w:space="0" w:color="auto"/>
        <w:bottom w:val="none" w:sz="0" w:space="0" w:color="auto"/>
        <w:right w:val="none" w:sz="0" w:space="0" w:color="auto"/>
      </w:divBdr>
    </w:div>
    <w:div w:id="1453549444">
      <w:bodyDiv w:val="1"/>
      <w:marLeft w:val="0"/>
      <w:marRight w:val="0"/>
      <w:marTop w:val="0"/>
      <w:marBottom w:val="0"/>
      <w:divBdr>
        <w:top w:val="none" w:sz="0" w:space="0" w:color="auto"/>
        <w:left w:val="none" w:sz="0" w:space="0" w:color="auto"/>
        <w:bottom w:val="none" w:sz="0" w:space="0" w:color="auto"/>
        <w:right w:val="none" w:sz="0" w:space="0" w:color="auto"/>
      </w:divBdr>
    </w:div>
    <w:div w:id="1476222304">
      <w:bodyDiv w:val="1"/>
      <w:marLeft w:val="0"/>
      <w:marRight w:val="0"/>
      <w:marTop w:val="0"/>
      <w:marBottom w:val="0"/>
      <w:divBdr>
        <w:top w:val="none" w:sz="0" w:space="0" w:color="auto"/>
        <w:left w:val="none" w:sz="0" w:space="0" w:color="auto"/>
        <w:bottom w:val="none" w:sz="0" w:space="0" w:color="auto"/>
        <w:right w:val="none" w:sz="0" w:space="0" w:color="auto"/>
      </w:divBdr>
    </w:div>
    <w:div w:id="1512799590">
      <w:bodyDiv w:val="1"/>
      <w:marLeft w:val="0"/>
      <w:marRight w:val="0"/>
      <w:marTop w:val="0"/>
      <w:marBottom w:val="0"/>
      <w:divBdr>
        <w:top w:val="none" w:sz="0" w:space="0" w:color="auto"/>
        <w:left w:val="none" w:sz="0" w:space="0" w:color="auto"/>
        <w:bottom w:val="none" w:sz="0" w:space="0" w:color="auto"/>
        <w:right w:val="none" w:sz="0" w:space="0" w:color="auto"/>
      </w:divBdr>
    </w:div>
    <w:div w:id="1517160459">
      <w:bodyDiv w:val="1"/>
      <w:marLeft w:val="0"/>
      <w:marRight w:val="0"/>
      <w:marTop w:val="0"/>
      <w:marBottom w:val="0"/>
      <w:divBdr>
        <w:top w:val="none" w:sz="0" w:space="0" w:color="auto"/>
        <w:left w:val="none" w:sz="0" w:space="0" w:color="auto"/>
        <w:bottom w:val="none" w:sz="0" w:space="0" w:color="auto"/>
        <w:right w:val="none" w:sz="0" w:space="0" w:color="auto"/>
      </w:divBdr>
    </w:div>
    <w:div w:id="1533837246">
      <w:bodyDiv w:val="1"/>
      <w:marLeft w:val="0"/>
      <w:marRight w:val="0"/>
      <w:marTop w:val="0"/>
      <w:marBottom w:val="0"/>
      <w:divBdr>
        <w:top w:val="none" w:sz="0" w:space="0" w:color="auto"/>
        <w:left w:val="none" w:sz="0" w:space="0" w:color="auto"/>
        <w:bottom w:val="none" w:sz="0" w:space="0" w:color="auto"/>
        <w:right w:val="none" w:sz="0" w:space="0" w:color="auto"/>
      </w:divBdr>
    </w:div>
    <w:div w:id="1541238577">
      <w:bodyDiv w:val="1"/>
      <w:marLeft w:val="0"/>
      <w:marRight w:val="0"/>
      <w:marTop w:val="0"/>
      <w:marBottom w:val="0"/>
      <w:divBdr>
        <w:top w:val="none" w:sz="0" w:space="0" w:color="auto"/>
        <w:left w:val="none" w:sz="0" w:space="0" w:color="auto"/>
        <w:bottom w:val="none" w:sz="0" w:space="0" w:color="auto"/>
        <w:right w:val="none" w:sz="0" w:space="0" w:color="auto"/>
      </w:divBdr>
    </w:div>
    <w:div w:id="1584875696">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595824871">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1679504749">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700812450">
      <w:bodyDiv w:val="1"/>
      <w:marLeft w:val="0"/>
      <w:marRight w:val="0"/>
      <w:marTop w:val="0"/>
      <w:marBottom w:val="0"/>
      <w:divBdr>
        <w:top w:val="none" w:sz="0" w:space="0" w:color="auto"/>
        <w:left w:val="none" w:sz="0" w:space="0" w:color="auto"/>
        <w:bottom w:val="none" w:sz="0" w:space="0" w:color="auto"/>
        <w:right w:val="none" w:sz="0" w:space="0" w:color="auto"/>
      </w:divBdr>
    </w:div>
    <w:div w:id="1760056115">
      <w:bodyDiv w:val="1"/>
      <w:marLeft w:val="0"/>
      <w:marRight w:val="0"/>
      <w:marTop w:val="0"/>
      <w:marBottom w:val="0"/>
      <w:divBdr>
        <w:top w:val="none" w:sz="0" w:space="0" w:color="auto"/>
        <w:left w:val="none" w:sz="0" w:space="0" w:color="auto"/>
        <w:bottom w:val="none" w:sz="0" w:space="0" w:color="auto"/>
        <w:right w:val="none" w:sz="0" w:space="0" w:color="auto"/>
      </w:divBdr>
    </w:div>
    <w:div w:id="1772629730">
      <w:bodyDiv w:val="1"/>
      <w:marLeft w:val="0"/>
      <w:marRight w:val="0"/>
      <w:marTop w:val="0"/>
      <w:marBottom w:val="0"/>
      <w:divBdr>
        <w:top w:val="none" w:sz="0" w:space="0" w:color="auto"/>
        <w:left w:val="none" w:sz="0" w:space="0" w:color="auto"/>
        <w:bottom w:val="none" w:sz="0" w:space="0" w:color="auto"/>
        <w:right w:val="none" w:sz="0" w:space="0" w:color="auto"/>
      </w:divBdr>
    </w:div>
    <w:div w:id="1785152405">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801192684">
      <w:bodyDiv w:val="1"/>
      <w:marLeft w:val="0"/>
      <w:marRight w:val="0"/>
      <w:marTop w:val="0"/>
      <w:marBottom w:val="0"/>
      <w:divBdr>
        <w:top w:val="none" w:sz="0" w:space="0" w:color="auto"/>
        <w:left w:val="none" w:sz="0" w:space="0" w:color="auto"/>
        <w:bottom w:val="none" w:sz="0" w:space="0" w:color="auto"/>
        <w:right w:val="none" w:sz="0" w:space="0" w:color="auto"/>
      </w:divBdr>
    </w:div>
    <w:div w:id="1839349446">
      <w:bodyDiv w:val="1"/>
      <w:marLeft w:val="0"/>
      <w:marRight w:val="0"/>
      <w:marTop w:val="0"/>
      <w:marBottom w:val="0"/>
      <w:divBdr>
        <w:top w:val="none" w:sz="0" w:space="0" w:color="auto"/>
        <w:left w:val="none" w:sz="0" w:space="0" w:color="auto"/>
        <w:bottom w:val="none" w:sz="0" w:space="0" w:color="auto"/>
        <w:right w:val="none" w:sz="0" w:space="0" w:color="auto"/>
      </w:divBdr>
    </w:div>
    <w:div w:id="1848251240">
      <w:bodyDiv w:val="1"/>
      <w:marLeft w:val="0"/>
      <w:marRight w:val="0"/>
      <w:marTop w:val="0"/>
      <w:marBottom w:val="0"/>
      <w:divBdr>
        <w:top w:val="none" w:sz="0" w:space="0" w:color="auto"/>
        <w:left w:val="none" w:sz="0" w:space="0" w:color="auto"/>
        <w:bottom w:val="none" w:sz="0" w:space="0" w:color="auto"/>
        <w:right w:val="none" w:sz="0" w:space="0" w:color="auto"/>
      </w:divBdr>
    </w:div>
    <w:div w:id="190637711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1936984921">
      <w:bodyDiv w:val="1"/>
      <w:marLeft w:val="0"/>
      <w:marRight w:val="0"/>
      <w:marTop w:val="0"/>
      <w:marBottom w:val="0"/>
      <w:divBdr>
        <w:top w:val="none" w:sz="0" w:space="0" w:color="auto"/>
        <w:left w:val="none" w:sz="0" w:space="0" w:color="auto"/>
        <w:bottom w:val="none" w:sz="0" w:space="0" w:color="auto"/>
        <w:right w:val="none" w:sz="0" w:space="0" w:color="auto"/>
      </w:divBdr>
    </w:div>
    <w:div w:id="1938632437">
      <w:bodyDiv w:val="1"/>
      <w:marLeft w:val="0"/>
      <w:marRight w:val="0"/>
      <w:marTop w:val="0"/>
      <w:marBottom w:val="0"/>
      <w:divBdr>
        <w:top w:val="none" w:sz="0" w:space="0" w:color="auto"/>
        <w:left w:val="none" w:sz="0" w:space="0" w:color="auto"/>
        <w:bottom w:val="none" w:sz="0" w:space="0" w:color="auto"/>
        <w:right w:val="none" w:sz="0" w:space="0" w:color="auto"/>
      </w:divBdr>
    </w:div>
    <w:div w:id="1967540981">
      <w:bodyDiv w:val="1"/>
      <w:marLeft w:val="0"/>
      <w:marRight w:val="0"/>
      <w:marTop w:val="0"/>
      <w:marBottom w:val="0"/>
      <w:divBdr>
        <w:top w:val="none" w:sz="0" w:space="0" w:color="auto"/>
        <w:left w:val="none" w:sz="0" w:space="0" w:color="auto"/>
        <w:bottom w:val="none" w:sz="0" w:space="0" w:color="auto"/>
        <w:right w:val="none" w:sz="0" w:space="0" w:color="auto"/>
      </w:divBdr>
    </w:div>
    <w:div w:id="1977834565">
      <w:bodyDiv w:val="1"/>
      <w:marLeft w:val="0"/>
      <w:marRight w:val="0"/>
      <w:marTop w:val="0"/>
      <w:marBottom w:val="0"/>
      <w:divBdr>
        <w:top w:val="none" w:sz="0" w:space="0" w:color="auto"/>
        <w:left w:val="none" w:sz="0" w:space="0" w:color="auto"/>
        <w:bottom w:val="none" w:sz="0" w:space="0" w:color="auto"/>
        <w:right w:val="none" w:sz="0" w:space="0" w:color="auto"/>
      </w:divBdr>
    </w:div>
    <w:div w:id="2033677512">
      <w:bodyDiv w:val="1"/>
      <w:marLeft w:val="0"/>
      <w:marRight w:val="0"/>
      <w:marTop w:val="0"/>
      <w:marBottom w:val="0"/>
      <w:divBdr>
        <w:top w:val="none" w:sz="0" w:space="0" w:color="auto"/>
        <w:left w:val="none" w:sz="0" w:space="0" w:color="auto"/>
        <w:bottom w:val="none" w:sz="0" w:space="0" w:color="auto"/>
        <w:right w:val="none" w:sz="0" w:space="0" w:color="auto"/>
      </w:divBdr>
    </w:div>
    <w:div w:id="2039237339">
      <w:bodyDiv w:val="1"/>
      <w:marLeft w:val="0"/>
      <w:marRight w:val="0"/>
      <w:marTop w:val="0"/>
      <w:marBottom w:val="0"/>
      <w:divBdr>
        <w:top w:val="none" w:sz="0" w:space="0" w:color="auto"/>
        <w:left w:val="none" w:sz="0" w:space="0" w:color="auto"/>
        <w:bottom w:val="none" w:sz="0" w:space="0" w:color="auto"/>
        <w:right w:val="none" w:sz="0" w:space="0" w:color="auto"/>
      </w:divBdr>
    </w:div>
    <w:div w:id="2043357775">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046362950">
      <w:bodyDiv w:val="1"/>
      <w:marLeft w:val="0"/>
      <w:marRight w:val="0"/>
      <w:marTop w:val="0"/>
      <w:marBottom w:val="0"/>
      <w:divBdr>
        <w:top w:val="none" w:sz="0" w:space="0" w:color="auto"/>
        <w:left w:val="none" w:sz="0" w:space="0" w:color="auto"/>
        <w:bottom w:val="none" w:sz="0" w:space="0" w:color="auto"/>
        <w:right w:val="none" w:sz="0" w:space="0" w:color="auto"/>
      </w:divBdr>
    </w:div>
    <w:div w:id="2054504042">
      <w:bodyDiv w:val="1"/>
      <w:marLeft w:val="0"/>
      <w:marRight w:val="0"/>
      <w:marTop w:val="0"/>
      <w:marBottom w:val="0"/>
      <w:divBdr>
        <w:top w:val="none" w:sz="0" w:space="0" w:color="auto"/>
        <w:left w:val="none" w:sz="0" w:space="0" w:color="auto"/>
        <w:bottom w:val="none" w:sz="0" w:space="0" w:color="auto"/>
        <w:right w:val="none" w:sz="0" w:space="0" w:color="auto"/>
      </w:divBdr>
    </w:div>
    <w:div w:id="2057661217">
      <w:bodyDiv w:val="1"/>
      <w:marLeft w:val="0"/>
      <w:marRight w:val="0"/>
      <w:marTop w:val="0"/>
      <w:marBottom w:val="0"/>
      <w:divBdr>
        <w:top w:val="none" w:sz="0" w:space="0" w:color="auto"/>
        <w:left w:val="none" w:sz="0" w:space="0" w:color="auto"/>
        <w:bottom w:val="none" w:sz="0" w:space="0" w:color="auto"/>
        <w:right w:val="none" w:sz="0" w:space="0" w:color="auto"/>
      </w:divBdr>
    </w:div>
    <w:div w:id="2116898428">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25886040">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qcwlV2tLnHOvuaT-h85qUFJ0wjbRAdl--KsqwyWyk1c=" TargetMode="External"/><Relationship Id="rId18" Type="http://schemas.openxmlformats.org/officeDocument/2006/relationships/hyperlink" Target="https://www.legifrance.gouv.fr/download/pdf?id=qcwlV2tLnHOvuaT-h85qUM1EHFQ2DgWXsjxXY-a5RFQ=" TargetMode="External"/><Relationship Id="rId26" Type="http://schemas.openxmlformats.org/officeDocument/2006/relationships/hyperlink" Target="https://www.legifrance.gouv.fr/download/pdf?id=y1kx6G1ULI7dj6njE6R2NtoSRuAdkFvSJtWKJebKU2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download/pdf?id=otS3K96plCPG_h8U1i9yvZMD0LeooqkyAbZzfe5bjzs=" TargetMode="External"/><Relationship Id="rId34" Type="http://schemas.openxmlformats.org/officeDocument/2006/relationships/hyperlink" Target="https://www.legifrance.gouv.fr/download/pdf?id=oZvrnVYJ8E7GHyr3kRwcZcKaN5YM8TCPy2C_ZbLX96A=" TargetMode="External"/><Relationship Id="rId7" Type="http://schemas.openxmlformats.org/officeDocument/2006/relationships/endnotes" Target="endnotes.xml"/><Relationship Id="rId12" Type="http://schemas.openxmlformats.org/officeDocument/2006/relationships/hyperlink" Target="https://www.legifrance.gouv.fr/download/pdf?id=qcwlV2tLnHOvuaT-h85qUDslHBs6k4KOYQma8Zvbils=" TargetMode="External"/><Relationship Id="rId17" Type="http://schemas.openxmlformats.org/officeDocument/2006/relationships/hyperlink" Target="https://www.legifrance.gouv.fr/download/pdf?id=7HIfipZJl2cf-o3Zme2I-Uz_YKvnMt_Q79svGv-m-Rk=" TargetMode="External"/><Relationship Id="rId25" Type="http://schemas.openxmlformats.org/officeDocument/2006/relationships/hyperlink" Target="https://www.legifrance.gouv.fr/download/pdf?id=otS3K96plCPG_h8U1i9yvXxyq2uN_TKeBRRXw8U00MM=" TargetMode="External"/><Relationship Id="rId33" Type="http://schemas.openxmlformats.org/officeDocument/2006/relationships/hyperlink" Target="https://www.legifrance.gouv.fr/download/pdf?id=otS3K96plCPG_h8U1i9yvR7u73-Lt0-je1OXhDP1pfQ=" TargetMode="External"/><Relationship Id="rId38" Type="http://schemas.openxmlformats.org/officeDocument/2006/relationships/hyperlink" Target="https://www.legifrance.gouv.fr/download/pdf?id=Fme9wpe4cKINChrEIHMmDeGamjg1xo8C-g1_Q8VXgsM=" TargetMode="External"/><Relationship Id="rId2" Type="http://schemas.openxmlformats.org/officeDocument/2006/relationships/numbering" Target="numbering.xml"/><Relationship Id="rId16" Type="http://schemas.openxmlformats.org/officeDocument/2006/relationships/hyperlink" Target="https://www.legifrance.gouv.fr/download/pdf?id=7HIfipZJl2cf-o3Zme2I-XWbx9QVFqFHyQm72Iregis=" TargetMode="External"/><Relationship Id="rId20" Type="http://schemas.openxmlformats.org/officeDocument/2006/relationships/hyperlink" Target="https://www.legifrance.gouv.fr/download/pdf?id=rr8sJNT2muC0MW60miuvyyVuWr0oZmjTy5LY7ucMcns=" TargetMode="External"/><Relationship Id="rId29" Type="http://schemas.openxmlformats.org/officeDocument/2006/relationships/hyperlink" Target="https://www.legifrance.gouv.fr/download/pdf?id=QWKXVBeoGJ1WMAEOgDwApR9K_gvnOMgthOva_2h02A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7HIfipZJl2cf-o3Zme2I-XF6KtYbqBeEYEm09DL2olU=" TargetMode="External"/><Relationship Id="rId24" Type="http://schemas.openxmlformats.org/officeDocument/2006/relationships/hyperlink" Target="https://www.legifrance.gouv.fr/download/pdf?id=otS3K96plCPG_h8U1i9yvXm8SR_IEm35GBjsA0oLnJk=" TargetMode="External"/><Relationship Id="rId32" Type="http://schemas.openxmlformats.org/officeDocument/2006/relationships/hyperlink" Target="https://www.legifrance.gouv.fr/download/pdf?id=QWKXVBeoGJ1WMAEOgDwApZmZxgNwLlgVqs1D12Pbd_0=" TargetMode="External"/><Relationship Id="rId37" Type="http://schemas.openxmlformats.org/officeDocument/2006/relationships/hyperlink" Target="https://www.legifrance.gouv.fr/download/pdf?id=3hxos29mTVVrImRmC_6oufA3lFamqVo5TMjEEwLyuOw="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download/pdf?id=Fme9wpe4cKINChrEIHMmDTImAyXlPNb9zULelSY01V8=" TargetMode="External"/><Relationship Id="rId23" Type="http://schemas.openxmlformats.org/officeDocument/2006/relationships/hyperlink" Target="https://www.legifrance.gouv.fr/download/pdf?id=otS3K96plCPG_h8U1i9yvdc6CzCbQO9uFNB4OMZ2vZM=" TargetMode="External"/><Relationship Id="rId28" Type="http://schemas.openxmlformats.org/officeDocument/2006/relationships/hyperlink" Target="https://www.legifrance.gouv.fr/download/pdf?id=7HIfipZJl2cf-o3Zme2I-fjG0ZdOtzgp_gIMW9NOj2M=" TargetMode="External"/><Relationship Id="rId36" Type="http://schemas.openxmlformats.org/officeDocument/2006/relationships/hyperlink" Target="https://www.legifrance.gouv.fr/download/pdf?id=otS3K96plCPG_h8U1i9yvctLwN0K96F5mQLIWt1yovI=" TargetMode="External"/><Relationship Id="rId10" Type="http://schemas.openxmlformats.org/officeDocument/2006/relationships/hyperlink" Target="https://www.legifrance.gouv.fr/download/pdf?id=7HIfipZJl2cf-o3Zme2I-WW0XwgUQ3ShjAExzLwSnNs=" TargetMode="External"/><Relationship Id="rId19" Type="http://schemas.openxmlformats.org/officeDocument/2006/relationships/hyperlink" Target="https://www.legifrance.gouv.fr/download/pdf?id=QWKXVBeoGJ1WMAEOgDwApYiX_erjixoTD_Jy3AVXRFk=" TargetMode="External"/><Relationship Id="rId31" Type="http://schemas.openxmlformats.org/officeDocument/2006/relationships/hyperlink" Target="https://www.legifrance.gouv.fr/download/pdf?id=otS3K96plCPG_h8U1i9yvR-QWYHoids5-JrpxBICLNI=" TargetMode="External"/><Relationship Id="rId4" Type="http://schemas.openxmlformats.org/officeDocument/2006/relationships/settings" Target="settings.xml"/><Relationship Id="rId9" Type="http://schemas.openxmlformats.org/officeDocument/2006/relationships/hyperlink" Target="https://www.legifrance.gouv.fr/download/pdf?id=jZb1asm4mNRgPzWxHj1WtZSeBHJeUzvRbwlMM6RXr-U=" TargetMode="External"/><Relationship Id="rId14" Type="http://schemas.openxmlformats.org/officeDocument/2006/relationships/hyperlink" Target="https://www.legifrance.gouv.fr/download/pdf?id=Fme9wpe4cKINChrEIHMmDa7iCYE7xZ38nhmp7ihfx2M=" TargetMode="External"/><Relationship Id="rId22" Type="http://schemas.openxmlformats.org/officeDocument/2006/relationships/hyperlink" Target="https://www.legifrance.gouv.fr/download/pdf?id=fV75jeNFKW7xU9xwMrVCPVdAV-pqnhpuwM5LZBeTr90=" TargetMode="External"/><Relationship Id="rId27" Type="http://schemas.openxmlformats.org/officeDocument/2006/relationships/hyperlink" Target="https://www.legifrance.gouv.fr/download/pdf?id=rr8sJNT2muC0MW60miuvy02HI3eosjR2WigIXHagCgA=" TargetMode="External"/><Relationship Id="rId30" Type="http://schemas.openxmlformats.org/officeDocument/2006/relationships/hyperlink" Target="https://www.legifrance.gouv.fr/download/pdf?id=qcwlV2tLnHOvuaT-h85qUGdoyaiZlDDLDoWKNzrjT-Y=" TargetMode="External"/><Relationship Id="rId35" Type="http://schemas.openxmlformats.org/officeDocument/2006/relationships/hyperlink" Target="https://www.legifrance.gouv.fr/download/pdf?id=7HIfipZJl2cf-o3Zme2I-fpNRp6cu4pAD6cG41mJnZ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BC68-0AEB-482B-9C57-21F510F4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10</Pages>
  <Words>4001</Words>
  <Characters>22008</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303</cp:revision>
  <dcterms:created xsi:type="dcterms:W3CDTF">2025-12-12T09:55:00Z</dcterms:created>
  <dcterms:modified xsi:type="dcterms:W3CDTF">2026-06-10T12:26:00Z</dcterms:modified>
</cp:coreProperties>
</file>