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2E" w:rsidRPr="00A858BD" w:rsidRDefault="006A1C2E" w:rsidP="006A1C2E">
      <w:pPr>
        <w:shd w:val="clear" w:color="auto" w:fill="E7E6E6" w:themeFill="background2"/>
        <w:rPr>
          <w:b/>
          <w:i/>
          <w:sz w:val="28"/>
          <w:szCs w:val="28"/>
        </w:rPr>
      </w:pPr>
      <w:bookmarkStart w:id="0" w:name="_Hlk37146577"/>
      <w:r w:rsidRPr="00A858BD">
        <w:rPr>
          <w:b/>
          <w:i/>
          <w:sz w:val="28"/>
          <w:szCs w:val="28"/>
        </w:rPr>
        <w:t>Veille réglementaire</w:t>
      </w:r>
      <w:r>
        <w:rPr>
          <w:b/>
          <w:i/>
          <w:sz w:val="28"/>
          <w:szCs w:val="28"/>
        </w:rPr>
        <w:t xml:space="preserve"> #</w:t>
      </w:r>
      <w:r w:rsidR="004D29A0">
        <w:rPr>
          <w:b/>
          <w:i/>
          <w:sz w:val="28"/>
          <w:szCs w:val="28"/>
        </w:rPr>
        <w:t>février</w:t>
      </w:r>
      <w:r>
        <w:rPr>
          <w:b/>
          <w:i/>
          <w:sz w:val="28"/>
          <w:szCs w:val="28"/>
        </w:rPr>
        <w:t xml:space="preserve"> 202</w:t>
      </w:r>
      <w:r w:rsidR="00FA6690">
        <w:rPr>
          <w:b/>
          <w:i/>
          <w:sz w:val="28"/>
          <w:szCs w:val="28"/>
        </w:rPr>
        <w:t>6</w:t>
      </w:r>
    </w:p>
    <w:p w:rsidR="006A1C2E" w:rsidRDefault="006A1C2E" w:rsidP="006A1C2E"/>
    <w:p w:rsidR="006A1C2E" w:rsidRDefault="006A1C2E" w:rsidP="006A1C2E"/>
    <w:p w:rsidR="006A1C2E" w:rsidRDefault="00E53CE0" w:rsidP="006A1C2E">
      <w:pPr>
        <w:jc w:val="both"/>
      </w:pPr>
      <w:r>
        <w:t>Le département Maîtrise de l’Energie de l’ATEE</w:t>
      </w:r>
      <w:r w:rsidR="00A67E1F">
        <w:t>,</w:t>
      </w:r>
      <w:r>
        <w:t xml:space="preserve"> </w:t>
      </w:r>
      <w:r w:rsidR="006A1C2E">
        <w:t>vous propos</w:t>
      </w:r>
      <w:r>
        <w:t>e</w:t>
      </w:r>
      <w:r w:rsidR="006A1C2E">
        <w:t xml:space="preserve"> </w:t>
      </w:r>
      <w:r>
        <w:t>une</w:t>
      </w:r>
      <w:r w:rsidR="006A1C2E">
        <w:t xml:space="preserve"> sélection mensuelle des textes réglementaires </w:t>
      </w:r>
      <w:r w:rsidR="00717692">
        <w:t>à</w:t>
      </w:r>
      <w:r w:rsidR="006A1C2E">
        <w:t xml:space="preserve"> laquelle </w:t>
      </w:r>
      <w:r w:rsidR="00717692">
        <w:t xml:space="preserve">sont liés </w:t>
      </w:r>
      <w:r w:rsidR="006A1C2E">
        <w:t xml:space="preserve">les thèmes de la maîtrise de l’énergie, l’efficacité énergétique, l’environnement et plus amplement la décarbonation. </w:t>
      </w:r>
    </w:p>
    <w:p w:rsidR="006A1C2E" w:rsidRDefault="006A1C2E" w:rsidP="006A1C2E">
      <w:pPr>
        <w:jc w:val="both"/>
      </w:pPr>
    </w:p>
    <w:bookmarkEnd w:id="0"/>
    <w:p w:rsidR="006A1C2E" w:rsidRDefault="00A67E1F" w:rsidP="006A1C2E">
      <w:pPr>
        <w:jc w:val="both"/>
      </w:pPr>
      <w:r>
        <w:t xml:space="preserve">Elle </w:t>
      </w:r>
      <w:r w:rsidR="006A1C2E" w:rsidRPr="0042040E">
        <w:t xml:space="preserve">s'adresse en premier </w:t>
      </w:r>
      <w:r>
        <w:t xml:space="preserve">lieu </w:t>
      </w:r>
      <w:r w:rsidR="006A1C2E" w:rsidRPr="0042040E">
        <w:t xml:space="preserve">aux </w:t>
      </w:r>
      <w:r>
        <w:t xml:space="preserve">personnes en charge de gérer les économies d’énergie et la décarbonation dans l’industrie qui ne </w:t>
      </w:r>
      <w:r w:rsidR="006A1C2E" w:rsidRPr="0042040E">
        <w:t>dispos</w:t>
      </w:r>
      <w:r>
        <w:t>e</w:t>
      </w:r>
      <w:r w:rsidR="006A1C2E" w:rsidRPr="0042040E">
        <w:t>nt pas de service de veille</w:t>
      </w:r>
      <w:r w:rsidR="006A1C2E">
        <w:t xml:space="preserve"> en interne</w:t>
      </w:r>
      <w:r>
        <w:t>, p</w:t>
      </w:r>
      <w:r w:rsidR="006A1C2E">
        <w:t>uis</w:t>
      </w:r>
      <w:r>
        <w:t xml:space="preserve"> </w:t>
      </w:r>
      <w:r w:rsidR="006A1C2E">
        <w:t>à tous ceux qui souhaitent consolider leur connaissance sur la réglementation.</w:t>
      </w:r>
    </w:p>
    <w:p w:rsidR="006A1C2E" w:rsidRDefault="006A1C2E" w:rsidP="006A1C2E">
      <w:pPr>
        <w:jc w:val="both"/>
      </w:pPr>
    </w:p>
    <w:p w:rsidR="00C44074" w:rsidRDefault="00C44074" w:rsidP="00C44074">
      <w:pPr>
        <w:jc w:val="both"/>
      </w:pPr>
      <w:r>
        <w:t xml:space="preserve">Pour rappel, notre veille réglementaire </w:t>
      </w:r>
      <w:r w:rsidRPr="00457C1A">
        <w:t>est obtenue à partir des textes législatifs et réglementaires</w:t>
      </w:r>
      <w:r>
        <w:t>,</w:t>
      </w:r>
      <w:r w:rsidRPr="00457C1A">
        <w:t xml:space="preserve"> édités par </w:t>
      </w:r>
      <w:proofErr w:type="spellStart"/>
      <w:r w:rsidRPr="00E53CE0">
        <w:rPr>
          <w:i/>
        </w:rPr>
        <w:t>Legifrance</w:t>
      </w:r>
      <w:proofErr w:type="spellEnd"/>
      <w:r>
        <w:t>, le</w:t>
      </w:r>
      <w:r w:rsidRPr="00E53CE0">
        <w:rPr>
          <w:i/>
        </w:rPr>
        <w:t xml:space="preserve"> </w:t>
      </w:r>
      <w:r w:rsidRPr="00457C1A">
        <w:t>service public de la diffusion du droit par l'Internet.</w:t>
      </w:r>
      <w:r w:rsidR="00B11543">
        <w:t xml:space="preserve"> Elle ne fait l’objet d’aucune sous-traitance.</w:t>
      </w:r>
    </w:p>
    <w:p w:rsidR="00C44074" w:rsidRDefault="00C44074" w:rsidP="00C44074">
      <w:pPr>
        <w:jc w:val="both"/>
      </w:pPr>
    </w:p>
    <w:p w:rsidR="006A1C2E" w:rsidRDefault="00DC0BB1" w:rsidP="006A1C2E">
      <w:pPr>
        <w:jc w:val="both"/>
      </w:pPr>
      <w:r w:rsidRPr="00DC0BB1">
        <w:t>La</w:t>
      </w:r>
      <w:r w:rsidR="006A1C2E" w:rsidRPr="00DC0BB1">
        <w:t xml:space="preserve"> </w:t>
      </w:r>
      <w:r w:rsidR="006A1C2E">
        <w:t xml:space="preserve">réglementation est en permanente évolution, il peut arriver que certains textes présentés dans notre veille réglementaire aient déjà fait l’objet, dans l’entretemps, d’une modification : consultez toujours la dernière version en vigueur sur le site </w:t>
      </w:r>
      <w:hyperlink r:id="rId8" w:history="1">
        <w:r w:rsidR="006A1C2E" w:rsidRPr="00C12479">
          <w:rPr>
            <w:rStyle w:val="Lienhypertexte"/>
          </w:rPr>
          <w:t>www.legifrance.gouv.fr</w:t>
        </w:r>
      </w:hyperlink>
      <w:r w:rsidR="006A1C2E">
        <w:t>.</w:t>
      </w:r>
    </w:p>
    <w:p w:rsidR="006A1C2E" w:rsidRDefault="006A1C2E" w:rsidP="00EB5104">
      <w:pPr>
        <w:pStyle w:val="Textebrut"/>
      </w:pPr>
    </w:p>
    <w:p w:rsidR="00DC0BB1" w:rsidRDefault="00DC0BB1" w:rsidP="00EB5104">
      <w:pPr>
        <w:pStyle w:val="Textebrut"/>
      </w:pPr>
    </w:p>
    <w:p w:rsidR="00481309" w:rsidRDefault="00481309" w:rsidP="00EB5104">
      <w:pPr>
        <w:pStyle w:val="Textebrut"/>
      </w:pPr>
    </w:p>
    <w:sdt>
      <w:sdtPr>
        <w:rPr>
          <w:rFonts w:asciiTheme="minorHAnsi" w:eastAsiaTheme="minorHAnsi" w:hAnsiTheme="minorHAnsi" w:cstheme="minorBidi"/>
          <w:color w:val="auto"/>
          <w:sz w:val="22"/>
          <w:szCs w:val="22"/>
          <w:lang w:eastAsia="en-US"/>
        </w:rPr>
        <w:id w:val="-1808469591"/>
        <w:docPartObj>
          <w:docPartGallery w:val="Table of Contents"/>
          <w:docPartUnique/>
        </w:docPartObj>
      </w:sdtPr>
      <w:sdtEndPr>
        <w:rPr>
          <w:b/>
          <w:bCs/>
        </w:rPr>
      </w:sdtEndPr>
      <w:sdtContent>
        <w:p w:rsidR="00481309" w:rsidRDefault="00481309">
          <w:pPr>
            <w:pStyle w:val="En-ttedetabledesmatires"/>
          </w:pPr>
          <w:r>
            <w:t>Table des matières</w:t>
          </w:r>
        </w:p>
        <w:p w:rsidR="00873E12" w:rsidRDefault="004813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23439932" w:history="1">
            <w:r w:rsidR="00873E12" w:rsidRPr="00D46D8B">
              <w:rPr>
                <w:rStyle w:val="Lienhypertexte"/>
                <w:noProof/>
              </w:rPr>
              <w:t>Carburant</w:t>
            </w:r>
            <w:r w:rsidR="00873E12">
              <w:rPr>
                <w:noProof/>
                <w:webHidden/>
              </w:rPr>
              <w:tab/>
            </w:r>
            <w:r w:rsidR="00873E12">
              <w:rPr>
                <w:noProof/>
                <w:webHidden/>
              </w:rPr>
              <w:fldChar w:fldCharType="begin"/>
            </w:r>
            <w:r w:rsidR="00873E12">
              <w:rPr>
                <w:noProof/>
                <w:webHidden/>
              </w:rPr>
              <w:instrText xml:space="preserve"> PAGEREF _Toc223439932 \h </w:instrText>
            </w:r>
            <w:r w:rsidR="00873E12">
              <w:rPr>
                <w:noProof/>
                <w:webHidden/>
              </w:rPr>
            </w:r>
            <w:r w:rsidR="00873E12">
              <w:rPr>
                <w:noProof/>
                <w:webHidden/>
              </w:rPr>
              <w:fldChar w:fldCharType="separate"/>
            </w:r>
            <w:r w:rsidR="00873E12">
              <w:rPr>
                <w:noProof/>
                <w:webHidden/>
              </w:rPr>
              <w:t>2</w:t>
            </w:r>
            <w:r w:rsidR="00873E12">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3" w:history="1">
            <w:r w:rsidRPr="00D46D8B">
              <w:rPr>
                <w:rStyle w:val="Lienhypertexte"/>
                <w:noProof/>
              </w:rPr>
              <w:t>Certificats d’économies d’énergie</w:t>
            </w:r>
            <w:r>
              <w:rPr>
                <w:noProof/>
                <w:webHidden/>
              </w:rPr>
              <w:tab/>
            </w:r>
            <w:r>
              <w:rPr>
                <w:noProof/>
                <w:webHidden/>
              </w:rPr>
              <w:fldChar w:fldCharType="begin"/>
            </w:r>
            <w:r>
              <w:rPr>
                <w:noProof/>
                <w:webHidden/>
              </w:rPr>
              <w:instrText xml:space="preserve"> PAGEREF _Toc223439933 \h </w:instrText>
            </w:r>
            <w:r>
              <w:rPr>
                <w:noProof/>
                <w:webHidden/>
              </w:rPr>
            </w:r>
            <w:r>
              <w:rPr>
                <w:noProof/>
                <w:webHidden/>
              </w:rPr>
              <w:fldChar w:fldCharType="separate"/>
            </w:r>
            <w:r>
              <w:rPr>
                <w:noProof/>
                <w:webHidden/>
              </w:rPr>
              <w:t>2</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4" w:history="1">
            <w:r w:rsidRPr="00D46D8B">
              <w:rPr>
                <w:rStyle w:val="Lienhypertexte"/>
                <w:noProof/>
              </w:rPr>
              <w:t>Eau</w:t>
            </w:r>
            <w:r>
              <w:rPr>
                <w:noProof/>
                <w:webHidden/>
              </w:rPr>
              <w:tab/>
            </w:r>
            <w:r>
              <w:rPr>
                <w:noProof/>
                <w:webHidden/>
              </w:rPr>
              <w:fldChar w:fldCharType="begin"/>
            </w:r>
            <w:r>
              <w:rPr>
                <w:noProof/>
                <w:webHidden/>
              </w:rPr>
              <w:instrText xml:space="preserve"> PAGEREF _Toc223439934 \h </w:instrText>
            </w:r>
            <w:r>
              <w:rPr>
                <w:noProof/>
                <w:webHidden/>
              </w:rPr>
            </w:r>
            <w:r>
              <w:rPr>
                <w:noProof/>
                <w:webHidden/>
              </w:rPr>
              <w:fldChar w:fldCharType="separate"/>
            </w:r>
            <w:r>
              <w:rPr>
                <w:noProof/>
                <w:webHidden/>
              </w:rPr>
              <w:t>3</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5" w:history="1">
            <w:r w:rsidRPr="00D46D8B">
              <w:rPr>
                <w:rStyle w:val="Lienhypertexte"/>
                <w:noProof/>
              </w:rPr>
              <w:t>Emissions de gaz à effet de serre</w:t>
            </w:r>
            <w:r>
              <w:rPr>
                <w:noProof/>
                <w:webHidden/>
              </w:rPr>
              <w:tab/>
            </w:r>
            <w:r>
              <w:rPr>
                <w:noProof/>
                <w:webHidden/>
              </w:rPr>
              <w:fldChar w:fldCharType="begin"/>
            </w:r>
            <w:r>
              <w:rPr>
                <w:noProof/>
                <w:webHidden/>
              </w:rPr>
              <w:instrText xml:space="preserve"> PAGEREF _Toc223439935 \h </w:instrText>
            </w:r>
            <w:r>
              <w:rPr>
                <w:noProof/>
                <w:webHidden/>
              </w:rPr>
            </w:r>
            <w:r>
              <w:rPr>
                <w:noProof/>
                <w:webHidden/>
              </w:rPr>
              <w:fldChar w:fldCharType="separate"/>
            </w:r>
            <w:r>
              <w:rPr>
                <w:noProof/>
                <w:webHidden/>
              </w:rPr>
              <w:t>3</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6" w:history="1">
            <w:r w:rsidRPr="00D46D8B">
              <w:rPr>
                <w:rStyle w:val="Lienhypertexte"/>
                <w:noProof/>
              </w:rPr>
              <w:t>Installations classées pour la protection de l’environnement</w:t>
            </w:r>
            <w:r>
              <w:rPr>
                <w:noProof/>
                <w:webHidden/>
              </w:rPr>
              <w:tab/>
            </w:r>
            <w:r>
              <w:rPr>
                <w:noProof/>
                <w:webHidden/>
              </w:rPr>
              <w:fldChar w:fldCharType="begin"/>
            </w:r>
            <w:r>
              <w:rPr>
                <w:noProof/>
                <w:webHidden/>
              </w:rPr>
              <w:instrText xml:space="preserve"> PAGEREF _Toc223439936 \h </w:instrText>
            </w:r>
            <w:r>
              <w:rPr>
                <w:noProof/>
                <w:webHidden/>
              </w:rPr>
            </w:r>
            <w:r>
              <w:rPr>
                <w:noProof/>
                <w:webHidden/>
              </w:rPr>
              <w:fldChar w:fldCharType="separate"/>
            </w:r>
            <w:r>
              <w:rPr>
                <w:noProof/>
                <w:webHidden/>
              </w:rPr>
              <w:t>4</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7" w:history="1">
            <w:r w:rsidRPr="00D46D8B">
              <w:rPr>
                <w:rStyle w:val="Lienhypertexte"/>
                <w:noProof/>
              </w:rPr>
              <w:t>Loi</w:t>
            </w:r>
            <w:r>
              <w:rPr>
                <w:noProof/>
                <w:webHidden/>
              </w:rPr>
              <w:tab/>
            </w:r>
            <w:r>
              <w:rPr>
                <w:noProof/>
                <w:webHidden/>
              </w:rPr>
              <w:fldChar w:fldCharType="begin"/>
            </w:r>
            <w:r>
              <w:rPr>
                <w:noProof/>
                <w:webHidden/>
              </w:rPr>
              <w:instrText xml:space="preserve"> PAGEREF _Toc223439937 \h </w:instrText>
            </w:r>
            <w:r>
              <w:rPr>
                <w:noProof/>
                <w:webHidden/>
              </w:rPr>
            </w:r>
            <w:r>
              <w:rPr>
                <w:noProof/>
                <w:webHidden/>
              </w:rPr>
              <w:fldChar w:fldCharType="separate"/>
            </w:r>
            <w:r>
              <w:rPr>
                <w:noProof/>
                <w:webHidden/>
              </w:rPr>
              <w:t>4</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8" w:history="1">
            <w:r w:rsidRPr="00D46D8B">
              <w:rPr>
                <w:rStyle w:val="Lienhypertexte"/>
                <w:noProof/>
              </w:rPr>
              <w:t>Norme</w:t>
            </w:r>
            <w:r>
              <w:rPr>
                <w:noProof/>
                <w:webHidden/>
              </w:rPr>
              <w:tab/>
            </w:r>
            <w:r>
              <w:rPr>
                <w:noProof/>
                <w:webHidden/>
              </w:rPr>
              <w:fldChar w:fldCharType="begin"/>
            </w:r>
            <w:r>
              <w:rPr>
                <w:noProof/>
                <w:webHidden/>
              </w:rPr>
              <w:instrText xml:space="preserve"> PAGEREF _Toc223439938 \h </w:instrText>
            </w:r>
            <w:r>
              <w:rPr>
                <w:noProof/>
                <w:webHidden/>
              </w:rPr>
            </w:r>
            <w:r>
              <w:rPr>
                <w:noProof/>
                <w:webHidden/>
              </w:rPr>
              <w:fldChar w:fldCharType="separate"/>
            </w:r>
            <w:r>
              <w:rPr>
                <w:noProof/>
                <w:webHidden/>
              </w:rPr>
              <w:t>5</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39" w:history="1">
            <w:r w:rsidRPr="00D46D8B">
              <w:rPr>
                <w:rStyle w:val="Lienhypertexte"/>
                <w:noProof/>
              </w:rPr>
              <w:t>Performance énergétique de l’habitat</w:t>
            </w:r>
            <w:r>
              <w:rPr>
                <w:noProof/>
                <w:webHidden/>
              </w:rPr>
              <w:tab/>
            </w:r>
            <w:r>
              <w:rPr>
                <w:noProof/>
                <w:webHidden/>
              </w:rPr>
              <w:fldChar w:fldCharType="begin"/>
            </w:r>
            <w:r>
              <w:rPr>
                <w:noProof/>
                <w:webHidden/>
              </w:rPr>
              <w:instrText xml:space="preserve"> PAGEREF _Toc223439939 \h </w:instrText>
            </w:r>
            <w:r>
              <w:rPr>
                <w:noProof/>
                <w:webHidden/>
              </w:rPr>
            </w:r>
            <w:r>
              <w:rPr>
                <w:noProof/>
                <w:webHidden/>
              </w:rPr>
              <w:fldChar w:fldCharType="separate"/>
            </w:r>
            <w:r>
              <w:rPr>
                <w:noProof/>
                <w:webHidden/>
              </w:rPr>
              <w:t>6</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40" w:history="1">
            <w:r w:rsidRPr="00D46D8B">
              <w:rPr>
                <w:rStyle w:val="Lienhypertexte"/>
                <w:noProof/>
              </w:rPr>
              <w:t>Programmation pluriannuelle de l’énergie</w:t>
            </w:r>
            <w:r>
              <w:rPr>
                <w:noProof/>
                <w:webHidden/>
              </w:rPr>
              <w:tab/>
            </w:r>
            <w:r>
              <w:rPr>
                <w:noProof/>
                <w:webHidden/>
              </w:rPr>
              <w:fldChar w:fldCharType="begin"/>
            </w:r>
            <w:r>
              <w:rPr>
                <w:noProof/>
                <w:webHidden/>
              </w:rPr>
              <w:instrText xml:space="preserve"> PAGEREF _Toc223439940 \h </w:instrText>
            </w:r>
            <w:r>
              <w:rPr>
                <w:noProof/>
                <w:webHidden/>
              </w:rPr>
            </w:r>
            <w:r>
              <w:rPr>
                <w:noProof/>
                <w:webHidden/>
              </w:rPr>
              <w:fldChar w:fldCharType="separate"/>
            </w:r>
            <w:r>
              <w:rPr>
                <w:noProof/>
                <w:webHidden/>
              </w:rPr>
              <w:t>6</w:t>
            </w:r>
            <w:r>
              <w:rPr>
                <w:noProof/>
                <w:webHidden/>
              </w:rPr>
              <w:fldChar w:fldCharType="end"/>
            </w:r>
          </w:hyperlink>
        </w:p>
        <w:p w:rsidR="00873E12" w:rsidRDefault="00873E12">
          <w:pPr>
            <w:pStyle w:val="TM1"/>
            <w:tabs>
              <w:tab w:val="right" w:leader="dot" w:pos="9062"/>
            </w:tabs>
            <w:rPr>
              <w:rFonts w:eastAsiaTheme="minorEastAsia"/>
              <w:noProof/>
              <w:lang w:eastAsia="fr-FR"/>
            </w:rPr>
          </w:pPr>
          <w:hyperlink w:anchor="_Toc223439941" w:history="1">
            <w:r w:rsidRPr="00D46D8B">
              <w:rPr>
                <w:rStyle w:val="Lienhypertexte"/>
                <w:noProof/>
              </w:rPr>
              <w:t>Transport</w:t>
            </w:r>
            <w:r>
              <w:rPr>
                <w:noProof/>
                <w:webHidden/>
              </w:rPr>
              <w:tab/>
            </w:r>
            <w:r>
              <w:rPr>
                <w:noProof/>
                <w:webHidden/>
              </w:rPr>
              <w:fldChar w:fldCharType="begin"/>
            </w:r>
            <w:r>
              <w:rPr>
                <w:noProof/>
                <w:webHidden/>
              </w:rPr>
              <w:instrText xml:space="preserve"> PAGEREF _Toc223439941 \h </w:instrText>
            </w:r>
            <w:r>
              <w:rPr>
                <w:noProof/>
                <w:webHidden/>
              </w:rPr>
            </w:r>
            <w:r>
              <w:rPr>
                <w:noProof/>
                <w:webHidden/>
              </w:rPr>
              <w:fldChar w:fldCharType="separate"/>
            </w:r>
            <w:r>
              <w:rPr>
                <w:noProof/>
                <w:webHidden/>
              </w:rPr>
              <w:t>6</w:t>
            </w:r>
            <w:r>
              <w:rPr>
                <w:noProof/>
                <w:webHidden/>
              </w:rPr>
              <w:fldChar w:fldCharType="end"/>
            </w:r>
          </w:hyperlink>
        </w:p>
        <w:p w:rsidR="00481309" w:rsidRDefault="00481309">
          <w:r>
            <w:rPr>
              <w:b/>
              <w:bCs/>
            </w:rPr>
            <w:fldChar w:fldCharType="end"/>
          </w:r>
        </w:p>
      </w:sdtContent>
    </w:sdt>
    <w:p w:rsidR="00A84207" w:rsidRDefault="00A84207">
      <w:pPr>
        <w:spacing w:after="160" w:line="259" w:lineRule="auto"/>
        <w:rPr>
          <w:rFonts w:ascii="Calibri" w:hAnsi="Calibri"/>
          <w:szCs w:val="21"/>
        </w:rPr>
      </w:pPr>
      <w:r>
        <w:br w:type="page"/>
      </w:r>
    </w:p>
    <w:p w:rsidR="006B1036" w:rsidRDefault="006B1036" w:rsidP="006B1036">
      <w:pPr>
        <w:pStyle w:val="Titre1"/>
      </w:pPr>
      <w:bookmarkStart w:id="1" w:name="_Toc223439932"/>
      <w:r>
        <w:lastRenderedPageBreak/>
        <w:t>Carburant</w:t>
      </w:r>
      <w:bookmarkEnd w:id="1"/>
    </w:p>
    <w:p w:rsidR="000E6286" w:rsidRDefault="000E6286" w:rsidP="000E6286">
      <w:pPr>
        <w:jc w:val="both"/>
      </w:pPr>
    </w:p>
    <w:p w:rsidR="006B1036" w:rsidRPr="006B1036" w:rsidRDefault="006B1036" w:rsidP="006B1036">
      <w:pPr>
        <w:pBdr>
          <w:left w:val="single" w:sz="4" w:space="4" w:color="auto"/>
        </w:pBdr>
        <w:jc w:val="both"/>
        <w:rPr>
          <w:b/>
        </w:rPr>
      </w:pPr>
      <w:r w:rsidRPr="006B1036">
        <w:rPr>
          <w:b/>
        </w:rPr>
        <w:sym w:font="Wingdings" w:char="F0E8"/>
      </w:r>
      <w:r w:rsidRPr="006B1036">
        <w:rPr>
          <w:b/>
        </w:rPr>
        <w:t xml:space="preserve"> Autorisations exceptionnelles limitées dans le temps pour mettre en œuvre des projets d’expérimentation pilotes</w:t>
      </w:r>
    </w:p>
    <w:p w:rsidR="006B1036" w:rsidRPr="000E6286" w:rsidRDefault="006B1036" w:rsidP="006B1036">
      <w:pPr>
        <w:pBdr>
          <w:left w:val="single" w:sz="4" w:space="4" w:color="auto"/>
        </w:pBdr>
        <w:jc w:val="both"/>
      </w:pPr>
    </w:p>
    <w:p w:rsidR="006B1036" w:rsidRPr="00DB42EF" w:rsidRDefault="00577F8E" w:rsidP="006B1036">
      <w:pPr>
        <w:pStyle w:val="Textebrut"/>
        <w:pBdr>
          <w:left w:val="single" w:sz="4" w:space="4" w:color="auto"/>
        </w:pBdr>
        <w:jc w:val="both"/>
        <w:rPr>
          <w:i/>
        </w:rPr>
      </w:pPr>
      <w:hyperlink r:id="rId9" w:history="1">
        <w:r w:rsidR="006B1036" w:rsidRPr="00DB42EF">
          <w:rPr>
            <w:rStyle w:val="Lienhypertexte"/>
            <w:b/>
            <w:i/>
            <w:color w:val="auto"/>
          </w:rPr>
          <w:t xml:space="preserve">Décret n° 2026-112 du 20 février 2026 </w:t>
        </w:r>
        <w:r w:rsidR="006B1036" w:rsidRPr="00DB42EF">
          <w:rPr>
            <w:rStyle w:val="Lienhypertexte"/>
            <w:i/>
            <w:color w:val="auto"/>
          </w:rPr>
          <w:t>relatif aux conditions dans lesquelles sont accordées des autorisations exceptionnelles et temporaires d'utilisation de carburants.</w:t>
        </w:r>
      </w:hyperlink>
    </w:p>
    <w:p w:rsidR="006B1036" w:rsidRDefault="006B1036" w:rsidP="006B1036">
      <w:pPr>
        <w:pStyle w:val="Textebrut"/>
      </w:pPr>
    </w:p>
    <w:p w:rsidR="00717478" w:rsidRDefault="00717478" w:rsidP="00FF1864">
      <w:pPr>
        <w:pStyle w:val="Textebrut"/>
        <w:jc w:val="both"/>
      </w:pPr>
    </w:p>
    <w:p w:rsidR="00791050" w:rsidRDefault="00791050" w:rsidP="00FF1864">
      <w:pPr>
        <w:pStyle w:val="Textebrut"/>
        <w:jc w:val="both"/>
      </w:pPr>
    </w:p>
    <w:p w:rsidR="00EF29B5" w:rsidRPr="00EF29B5" w:rsidRDefault="00EF29B5" w:rsidP="00EF29B5">
      <w:pPr>
        <w:pStyle w:val="Titre1"/>
      </w:pPr>
      <w:bookmarkStart w:id="2" w:name="_Toc223439933"/>
      <w:r w:rsidRPr="00EF29B5">
        <w:t>Certificats d’économies d’énergie</w:t>
      </w:r>
      <w:bookmarkEnd w:id="2"/>
    </w:p>
    <w:p w:rsidR="00EF29B5" w:rsidRDefault="00EF29B5" w:rsidP="00EF29B5">
      <w:pPr>
        <w:jc w:val="both"/>
      </w:pPr>
    </w:p>
    <w:p w:rsidR="00D11A03" w:rsidRPr="00A726C4" w:rsidRDefault="00A726C4" w:rsidP="00A726C4">
      <w:pPr>
        <w:pBdr>
          <w:left w:val="single" w:sz="4" w:space="4" w:color="auto"/>
        </w:pBdr>
        <w:jc w:val="both"/>
        <w:rPr>
          <w:b/>
        </w:rPr>
      </w:pPr>
      <w:r w:rsidRPr="00A726C4">
        <w:rPr>
          <w:b/>
        </w:rPr>
        <w:sym w:font="Wingdings" w:char="F0E8"/>
      </w:r>
      <w:r w:rsidRPr="00A726C4">
        <w:rPr>
          <w:b/>
        </w:rPr>
        <w:t xml:space="preserve"> Suppression fiche BAR-SE-109 – Désembouage d’un réseau hydraulique de chauffage collectif en France métropolitaine</w:t>
      </w:r>
    </w:p>
    <w:p w:rsidR="00D11A03" w:rsidRDefault="00D11A03" w:rsidP="00A726C4">
      <w:pPr>
        <w:pBdr>
          <w:left w:val="single" w:sz="4" w:space="4" w:color="auto"/>
        </w:pBdr>
        <w:jc w:val="both"/>
      </w:pPr>
    </w:p>
    <w:p w:rsidR="00A726C4" w:rsidRDefault="00A726C4" w:rsidP="00A726C4">
      <w:pPr>
        <w:pBdr>
          <w:left w:val="single" w:sz="4" w:space="4" w:color="auto"/>
        </w:pBdr>
        <w:jc w:val="both"/>
      </w:pPr>
      <w:r>
        <w:t>Le présent arrêté supprime la fiche d’opération standardisée BAR-SE-109 « Désembouage d’un réseau</w:t>
      </w:r>
    </w:p>
    <w:p w:rsidR="00A726C4" w:rsidRDefault="00A726C4" w:rsidP="00A726C4">
      <w:pPr>
        <w:pBdr>
          <w:left w:val="single" w:sz="4" w:space="4" w:color="auto"/>
        </w:pBdr>
        <w:jc w:val="both"/>
      </w:pPr>
      <w:proofErr w:type="gramStart"/>
      <w:r>
        <w:t>hydraulique</w:t>
      </w:r>
      <w:proofErr w:type="gramEnd"/>
      <w:r>
        <w:t xml:space="preserve"> de chauffage collectif en France métropolitaine » et impose le recensement des opérations relatives à cette fiche d’opération standardisée.</w:t>
      </w:r>
    </w:p>
    <w:p w:rsidR="00A726C4" w:rsidRPr="00EF29B5" w:rsidRDefault="00A726C4" w:rsidP="00A726C4">
      <w:pPr>
        <w:pBdr>
          <w:left w:val="single" w:sz="4" w:space="4" w:color="auto"/>
        </w:pBdr>
        <w:jc w:val="both"/>
      </w:pPr>
    </w:p>
    <w:p w:rsidR="00D11A03" w:rsidRPr="00D11A03" w:rsidRDefault="00577F8E" w:rsidP="00A726C4">
      <w:pPr>
        <w:pStyle w:val="Textebrut"/>
        <w:pBdr>
          <w:left w:val="single" w:sz="4" w:space="4" w:color="auto"/>
        </w:pBdr>
        <w:jc w:val="both"/>
        <w:rPr>
          <w:i/>
        </w:rPr>
      </w:pPr>
      <w:hyperlink r:id="rId10" w:history="1">
        <w:r w:rsidR="00D11A03" w:rsidRPr="00D11A03">
          <w:rPr>
            <w:rStyle w:val="Lienhypertexte"/>
            <w:b/>
            <w:i/>
            <w:color w:val="auto"/>
          </w:rPr>
          <w:t>Arrêté du 5 février 2026</w:t>
        </w:r>
        <w:r w:rsidR="00D11A03" w:rsidRPr="00D11A03">
          <w:rPr>
            <w:rStyle w:val="Lienhypertexte"/>
            <w:i/>
            <w:color w:val="auto"/>
          </w:rPr>
          <w:t xml:space="preserve"> portant suppression de la fiche d'opération standardisée portant la référence BAR-SE-109 dans le cadre du dispositif des certificats d'économies d'énergie.</w:t>
        </w:r>
      </w:hyperlink>
    </w:p>
    <w:p w:rsidR="00D86CB3" w:rsidRDefault="00D86CB3" w:rsidP="002125A7">
      <w:pPr>
        <w:pStyle w:val="Textebrut"/>
      </w:pPr>
    </w:p>
    <w:p w:rsidR="00D86CB3" w:rsidRDefault="00D86CB3" w:rsidP="002125A7">
      <w:pPr>
        <w:pStyle w:val="Textebrut"/>
      </w:pPr>
    </w:p>
    <w:p w:rsidR="00D86CB3" w:rsidRDefault="00D86CB3" w:rsidP="002125A7">
      <w:pPr>
        <w:pStyle w:val="Textebrut"/>
      </w:pPr>
    </w:p>
    <w:p w:rsidR="00D86CB3" w:rsidRPr="00D86CB3" w:rsidRDefault="00D86CB3" w:rsidP="00D86CB3">
      <w:pPr>
        <w:pStyle w:val="Textebrut"/>
        <w:pBdr>
          <w:left w:val="single" w:sz="4" w:space="4" w:color="auto"/>
        </w:pBdr>
        <w:jc w:val="both"/>
        <w:rPr>
          <w:b/>
        </w:rPr>
      </w:pPr>
      <w:r w:rsidRPr="00D86CB3">
        <w:rPr>
          <w:b/>
        </w:rPr>
        <w:sym w:font="Wingdings" w:char="F0E8"/>
      </w:r>
      <w:r w:rsidRPr="00D86CB3">
        <w:rPr>
          <w:b/>
        </w:rPr>
        <w:t xml:space="preserve"> Modification du programme PACTE Entreprise dans le cadre du dispositif des certificats d’économies d’énergie.</w:t>
      </w:r>
    </w:p>
    <w:p w:rsidR="00D86CB3" w:rsidRDefault="00D86CB3" w:rsidP="00D86CB3">
      <w:pPr>
        <w:pStyle w:val="Textebrut"/>
        <w:pBdr>
          <w:left w:val="single" w:sz="4" w:space="4" w:color="auto"/>
        </w:pBdr>
        <w:jc w:val="both"/>
      </w:pPr>
    </w:p>
    <w:p w:rsidR="00D86CB3" w:rsidRPr="00D86CB3" w:rsidRDefault="00577F8E" w:rsidP="00D86CB3">
      <w:pPr>
        <w:pStyle w:val="Textebrut"/>
        <w:pBdr>
          <w:left w:val="single" w:sz="4" w:space="4" w:color="auto"/>
        </w:pBdr>
        <w:jc w:val="both"/>
        <w:rPr>
          <w:i/>
        </w:rPr>
      </w:pPr>
      <w:hyperlink r:id="rId11" w:history="1">
        <w:r w:rsidR="00D86CB3" w:rsidRPr="00D86CB3">
          <w:rPr>
            <w:rStyle w:val="Lienhypertexte"/>
            <w:b/>
            <w:i/>
            <w:color w:val="auto"/>
          </w:rPr>
          <w:t>Arrêté du 20 février 2026</w:t>
        </w:r>
        <w:r w:rsidR="00D86CB3" w:rsidRPr="00D86CB3">
          <w:rPr>
            <w:rStyle w:val="Lienhypertexte"/>
            <w:i/>
            <w:color w:val="auto"/>
          </w:rPr>
          <w:t xml:space="preserve"> portant modification du programme PACTE Entreprise dans le cadre du dispositif des certificats d'économies d'énergie.</w:t>
        </w:r>
      </w:hyperlink>
    </w:p>
    <w:p w:rsidR="00D86CB3" w:rsidRDefault="00D86CB3" w:rsidP="00D86CB3">
      <w:pPr>
        <w:pStyle w:val="Textebrut"/>
      </w:pPr>
    </w:p>
    <w:p w:rsidR="00D86CB3" w:rsidRDefault="00D86CB3" w:rsidP="00D86CB3">
      <w:pPr>
        <w:pStyle w:val="Textebrut"/>
      </w:pPr>
    </w:p>
    <w:p w:rsidR="00D86CB3" w:rsidRDefault="00D86CB3" w:rsidP="00044620">
      <w:pPr>
        <w:pStyle w:val="Textebrut"/>
        <w:jc w:val="both"/>
      </w:pPr>
    </w:p>
    <w:p w:rsidR="00044620" w:rsidRPr="00467612" w:rsidRDefault="00044620" w:rsidP="00467612">
      <w:pPr>
        <w:pStyle w:val="Textebrut"/>
        <w:pBdr>
          <w:left w:val="single" w:sz="4" w:space="4" w:color="auto"/>
        </w:pBdr>
        <w:jc w:val="both"/>
        <w:rPr>
          <w:b/>
        </w:rPr>
      </w:pPr>
      <w:r w:rsidRPr="00467612">
        <w:rPr>
          <w:b/>
        </w:rPr>
        <w:sym w:font="Wingdings" w:char="F0E8"/>
      </w:r>
      <w:r w:rsidRPr="00467612">
        <w:rPr>
          <w:b/>
        </w:rPr>
        <w:t xml:space="preserve"> </w:t>
      </w:r>
      <w:r w:rsidR="00467612" w:rsidRPr="00467612">
        <w:rPr>
          <w:b/>
        </w:rPr>
        <w:t>S</w:t>
      </w:r>
      <w:r w:rsidR="00467612" w:rsidRPr="00467612">
        <w:rPr>
          <w:b/>
        </w:rPr>
        <w:t>uppression des fiches d’opérations standardisées BAR-EQ-110, BAT-EQ-127 et IND-BA-116</w:t>
      </w:r>
    </w:p>
    <w:p w:rsidR="00044620" w:rsidRDefault="00044620" w:rsidP="00467612">
      <w:pPr>
        <w:pStyle w:val="Textebrut"/>
        <w:pBdr>
          <w:left w:val="single" w:sz="4" w:space="4" w:color="auto"/>
        </w:pBdr>
        <w:jc w:val="both"/>
      </w:pPr>
    </w:p>
    <w:p w:rsidR="00467612" w:rsidRDefault="00467612" w:rsidP="00467612">
      <w:pPr>
        <w:pStyle w:val="Textebrut"/>
        <w:pBdr>
          <w:left w:val="single" w:sz="4" w:space="4" w:color="auto"/>
        </w:pBdr>
        <w:jc w:val="both"/>
      </w:pPr>
      <w:r>
        <w:t>L</w:t>
      </w:r>
      <w:r>
        <w:t>e présent arrêté supprime les fiches d’opérations standardisées</w:t>
      </w:r>
      <w:r>
        <w:t> :</w:t>
      </w:r>
    </w:p>
    <w:p w:rsidR="00467612" w:rsidRDefault="00467612" w:rsidP="00467612">
      <w:pPr>
        <w:pStyle w:val="Textebrut"/>
        <w:numPr>
          <w:ilvl w:val="0"/>
          <w:numId w:val="5"/>
        </w:numPr>
        <w:pBdr>
          <w:left w:val="single" w:sz="4" w:space="4" w:color="auto"/>
        </w:pBdr>
        <w:jc w:val="both"/>
      </w:pPr>
      <w:r>
        <w:t xml:space="preserve">BAR-EQ-110 </w:t>
      </w:r>
      <w:r>
        <w:t xml:space="preserve">- </w:t>
      </w:r>
      <w:r>
        <w:t>Luminaire à modules LED avec dispositif de contrôle pour les parties communes</w:t>
      </w:r>
      <w:r>
        <w:t> ;</w:t>
      </w:r>
    </w:p>
    <w:p w:rsidR="00467612" w:rsidRDefault="00467612" w:rsidP="00467612">
      <w:pPr>
        <w:pStyle w:val="Textebrut"/>
        <w:numPr>
          <w:ilvl w:val="0"/>
          <w:numId w:val="5"/>
        </w:numPr>
        <w:pBdr>
          <w:left w:val="single" w:sz="4" w:space="4" w:color="auto"/>
        </w:pBdr>
        <w:jc w:val="both"/>
      </w:pPr>
      <w:r>
        <w:t xml:space="preserve">BAT-EQ-127 </w:t>
      </w:r>
      <w:r>
        <w:t xml:space="preserve">- </w:t>
      </w:r>
      <w:r>
        <w:t>Luminaire à modules LED</w:t>
      </w:r>
      <w:r>
        <w:t> ;</w:t>
      </w:r>
    </w:p>
    <w:p w:rsidR="00467612" w:rsidRDefault="00467612" w:rsidP="00467612">
      <w:pPr>
        <w:pStyle w:val="Textebrut"/>
        <w:numPr>
          <w:ilvl w:val="0"/>
          <w:numId w:val="5"/>
        </w:numPr>
        <w:pBdr>
          <w:left w:val="single" w:sz="4" w:space="4" w:color="auto"/>
        </w:pBdr>
        <w:jc w:val="both"/>
      </w:pPr>
      <w:r>
        <w:t>IND</w:t>
      </w:r>
      <w:r>
        <w:t>-</w:t>
      </w:r>
      <w:r>
        <w:t xml:space="preserve">BA-116 </w:t>
      </w:r>
      <w:r>
        <w:t xml:space="preserve">- </w:t>
      </w:r>
      <w:r>
        <w:t>Luminaires à modules LED</w:t>
      </w:r>
      <w:r>
        <w:t>.</w:t>
      </w:r>
    </w:p>
    <w:p w:rsidR="00467612" w:rsidRDefault="00467612" w:rsidP="00467612">
      <w:pPr>
        <w:pStyle w:val="Textebrut"/>
        <w:pBdr>
          <w:left w:val="single" w:sz="4" w:space="4" w:color="auto"/>
        </w:pBdr>
        <w:jc w:val="both"/>
      </w:pPr>
      <w:r>
        <w:t xml:space="preserve"> </w:t>
      </w:r>
    </w:p>
    <w:p w:rsidR="00467612" w:rsidRDefault="00467612" w:rsidP="00467612">
      <w:pPr>
        <w:pStyle w:val="Textebrut"/>
        <w:pBdr>
          <w:left w:val="single" w:sz="4" w:space="4" w:color="auto"/>
        </w:pBdr>
        <w:jc w:val="both"/>
      </w:pPr>
      <w:r>
        <w:t xml:space="preserve">Il </w:t>
      </w:r>
      <w:r>
        <w:t>impose le recensement des opérations relatives à ces fiches d’opérations standardisées.</w:t>
      </w:r>
    </w:p>
    <w:p w:rsidR="00467612" w:rsidRDefault="00467612" w:rsidP="00467612">
      <w:pPr>
        <w:pStyle w:val="Textebrut"/>
        <w:pBdr>
          <w:left w:val="single" w:sz="4" w:space="4" w:color="auto"/>
        </w:pBdr>
        <w:jc w:val="both"/>
      </w:pPr>
    </w:p>
    <w:p w:rsidR="00044620" w:rsidRPr="0035281E" w:rsidRDefault="00044620" w:rsidP="0035281E">
      <w:pPr>
        <w:pStyle w:val="Textebrut"/>
        <w:pBdr>
          <w:left w:val="single" w:sz="4" w:space="4" w:color="auto"/>
        </w:pBdr>
        <w:jc w:val="both"/>
        <w:rPr>
          <w:i/>
        </w:rPr>
      </w:pPr>
      <w:hyperlink r:id="rId12" w:history="1">
        <w:r w:rsidRPr="00044620">
          <w:rPr>
            <w:rStyle w:val="Lienhypertexte"/>
            <w:b/>
            <w:i/>
            <w:color w:val="auto"/>
          </w:rPr>
          <w:t>Arrêté du 23 février 2026</w:t>
        </w:r>
        <w:r w:rsidRPr="00044620">
          <w:rPr>
            <w:rStyle w:val="Lienhypertexte"/>
            <w:i/>
            <w:color w:val="auto"/>
          </w:rPr>
          <w:t xml:space="preserve"> portant suppression des fiches d'opérations standardisées portant les références BAR-EQ-110, BAT-EQ-127 et IND-BA-116 dans le cadre du dispositif des certificats d'économies d'énergie.</w:t>
        </w:r>
      </w:hyperlink>
    </w:p>
    <w:p w:rsidR="0035281E" w:rsidRDefault="0035281E" w:rsidP="0035281E">
      <w:pPr>
        <w:pStyle w:val="Textebrut"/>
      </w:pPr>
    </w:p>
    <w:p w:rsidR="0035281E" w:rsidRDefault="0035281E" w:rsidP="0035281E">
      <w:pPr>
        <w:pStyle w:val="Textebrut"/>
      </w:pPr>
    </w:p>
    <w:p w:rsidR="0035281E" w:rsidRDefault="0035281E" w:rsidP="0035281E">
      <w:pPr>
        <w:pStyle w:val="Textebrut"/>
      </w:pPr>
    </w:p>
    <w:p w:rsidR="0035281E" w:rsidRPr="0035281E" w:rsidRDefault="0035281E" w:rsidP="00791050">
      <w:pPr>
        <w:pStyle w:val="Textebrut"/>
        <w:pBdr>
          <w:left w:val="single" w:sz="4" w:space="4" w:color="auto"/>
        </w:pBdr>
        <w:rPr>
          <w:b/>
        </w:rPr>
      </w:pPr>
      <w:r w:rsidRPr="0035281E">
        <w:rPr>
          <w:b/>
        </w:rPr>
        <w:sym w:font="Wingdings" w:char="F0E8"/>
      </w:r>
      <w:r w:rsidRPr="0035281E">
        <w:rPr>
          <w:b/>
        </w:rPr>
        <w:t xml:space="preserve"> R</w:t>
      </w:r>
      <w:r w:rsidRPr="0035281E">
        <w:rPr>
          <w:b/>
        </w:rPr>
        <w:t>éférentiel de contrôle de la fiche d’opération standardisée BAR-TH-143</w:t>
      </w:r>
    </w:p>
    <w:p w:rsidR="0035281E" w:rsidRDefault="0035281E" w:rsidP="00791050">
      <w:pPr>
        <w:pStyle w:val="Textebrut"/>
        <w:pBdr>
          <w:left w:val="single" w:sz="4" w:space="4" w:color="auto"/>
        </w:pBdr>
      </w:pPr>
    </w:p>
    <w:p w:rsidR="0035281E" w:rsidRDefault="0035281E" w:rsidP="00791050">
      <w:pPr>
        <w:pStyle w:val="Textebrut"/>
        <w:pBdr>
          <w:left w:val="single" w:sz="4" w:space="4" w:color="auto"/>
        </w:pBdr>
      </w:pPr>
      <w:r>
        <w:lastRenderedPageBreak/>
        <w:t>L</w:t>
      </w:r>
      <w:r>
        <w:t xml:space="preserve">e présent arrêté crée le référentiel de contrôle sur le lieu des opérations et par contact de la fiche d’opération standardisée BAR-TH-143 </w:t>
      </w:r>
      <w:r>
        <w:t xml:space="preserve">- </w:t>
      </w:r>
      <w:r>
        <w:t>Système solaire combiné (France métropolitaine.</w:t>
      </w:r>
    </w:p>
    <w:p w:rsidR="0035281E" w:rsidRDefault="0035281E" w:rsidP="00791050">
      <w:pPr>
        <w:pStyle w:val="Textebrut"/>
        <w:pBdr>
          <w:left w:val="single" w:sz="4" w:space="4" w:color="auto"/>
        </w:pBdr>
      </w:pPr>
    </w:p>
    <w:p w:rsidR="0035281E" w:rsidRPr="0035281E" w:rsidRDefault="0035281E" w:rsidP="00791050">
      <w:pPr>
        <w:pStyle w:val="Textebrut"/>
        <w:pBdr>
          <w:left w:val="single" w:sz="4" w:space="4" w:color="auto"/>
        </w:pBdr>
        <w:rPr>
          <w:i/>
        </w:rPr>
      </w:pPr>
      <w:hyperlink r:id="rId13" w:history="1">
        <w:r w:rsidRPr="0035281E">
          <w:rPr>
            <w:rStyle w:val="Lienhypertexte"/>
            <w:b/>
            <w:i/>
            <w:color w:val="auto"/>
          </w:rPr>
          <w:t>Arrêté du 24 février 2026</w:t>
        </w:r>
        <w:r w:rsidRPr="0035281E">
          <w:rPr>
            <w:rStyle w:val="Lienhypertexte"/>
            <w:i/>
            <w:color w:val="auto"/>
          </w:rPr>
          <w:t xml:space="preserve"> créant le référentiel de contrôle de la fiche d'opération standardisée BAR-TH-143 - Système solaire combiné (France métropolitaine.</w:t>
        </w:r>
      </w:hyperlink>
    </w:p>
    <w:p w:rsidR="00FE620C" w:rsidRDefault="00FE620C" w:rsidP="002125A7">
      <w:pPr>
        <w:pStyle w:val="Textebrut"/>
      </w:pPr>
    </w:p>
    <w:p w:rsidR="00682382" w:rsidRDefault="00682382" w:rsidP="002125A7">
      <w:pPr>
        <w:pStyle w:val="Textebrut"/>
      </w:pPr>
    </w:p>
    <w:p w:rsidR="00682382" w:rsidRDefault="00682382" w:rsidP="002125A7">
      <w:pPr>
        <w:pStyle w:val="Textebrut"/>
      </w:pPr>
    </w:p>
    <w:p w:rsidR="00E71268" w:rsidRDefault="00F179BF" w:rsidP="00E71268">
      <w:pPr>
        <w:pStyle w:val="Titre1"/>
      </w:pPr>
      <w:bookmarkStart w:id="3" w:name="_Toc223439934"/>
      <w:r>
        <w:t>Eau</w:t>
      </w:r>
      <w:bookmarkEnd w:id="3"/>
    </w:p>
    <w:p w:rsidR="00E71268" w:rsidRDefault="00E71268" w:rsidP="00FF1864">
      <w:pPr>
        <w:pStyle w:val="Textebrut"/>
        <w:jc w:val="both"/>
      </w:pPr>
    </w:p>
    <w:p w:rsidR="00F179BF" w:rsidRPr="00F179BF" w:rsidRDefault="00F179BF" w:rsidP="00FD7FA7">
      <w:pPr>
        <w:pStyle w:val="Textebrut"/>
        <w:pBdr>
          <w:left w:val="single" w:sz="4" w:space="4" w:color="auto"/>
        </w:pBdr>
        <w:jc w:val="both"/>
        <w:rPr>
          <w:b/>
        </w:rPr>
      </w:pPr>
      <w:r w:rsidRPr="00F179BF">
        <w:rPr>
          <w:b/>
        </w:rPr>
        <w:sym w:font="Wingdings" w:char="F0E8"/>
      </w:r>
      <w:r w:rsidRPr="00F179BF">
        <w:rPr>
          <w:b/>
        </w:rPr>
        <w:t xml:space="preserve"> Réglementation sur les matériaux et les produits en contact avec les eaux destinées à la consommation humaine</w:t>
      </w:r>
    </w:p>
    <w:p w:rsidR="00F179BF" w:rsidRDefault="00F179BF" w:rsidP="00FD7FA7">
      <w:pPr>
        <w:pStyle w:val="Textebrut"/>
        <w:pBdr>
          <w:left w:val="single" w:sz="4" w:space="4" w:color="auto"/>
        </w:pBdr>
        <w:jc w:val="both"/>
      </w:pPr>
    </w:p>
    <w:p w:rsidR="00F179BF" w:rsidRDefault="00FD7FA7" w:rsidP="00FD7FA7">
      <w:pPr>
        <w:pStyle w:val="Textebrut"/>
        <w:pBdr>
          <w:left w:val="single" w:sz="4" w:space="4" w:color="auto"/>
        </w:pBdr>
        <w:jc w:val="both"/>
      </w:pPr>
      <w:r>
        <w:t>Le décret met en cohérence la réglementation sur les matériaux et les produits en contact avec les eaux destinées à la consommation humaine à la suite de la publication des actes européens pris en application de l’article 11 de la directive 2020/2184 du Parlement européen et du Conseil du 16 décembre 2020 relative à la qualité des eaux destinées à la consommation humaine.</w:t>
      </w:r>
    </w:p>
    <w:p w:rsidR="00F179BF" w:rsidRDefault="00F179BF" w:rsidP="00FD7FA7">
      <w:pPr>
        <w:pStyle w:val="Textebrut"/>
        <w:pBdr>
          <w:left w:val="single" w:sz="4" w:space="4" w:color="auto"/>
        </w:pBdr>
        <w:jc w:val="both"/>
      </w:pPr>
    </w:p>
    <w:p w:rsidR="00F179BF" w:rsidRPr="00F179BF" w:rsidRDefault="00577F8E" w:rsidP="00FD7FA7">
      <w:pPr>
        <w:pStyle w:val="Textebrut"/>
        <w:pBdr>
          <w:left w:val="single" w:sz="4" w:space="4" w:color="auto"/>
        </w:pBdr>
        <w:jc w:val="both"/>
        <w:rPr>
          <w:i/>
        </w:rPr>
      </w:pPr>
      <w:hyperlink r:id="rId14" w:history="1">
        <w:r w:rsidR="00F179BF" w:rsidRPr="00F179BF">
          <w:rPr>
            <w:rStyle w:val="Lienhypertexte"/>
            <w:b/>
            <w:i/>
            <w:color w:val="auto"/>
          </w:rPr>
          <w:t>Décret n° 2026-80 du 11 février 2026</w:t>
        </w:r>
        <w:r w:rsidR="00F179BF" w:rsidRPr="00F179BF">
          <w:rPr>
            <w:rStyle w:val="Lienhypertexte"/>
            <w:i/>
            <w:color w:val="auto"/>
          </w:rPr>
          <w:t xml:space="preserve"> relatif aux matériaux et produits en contact avec les eaux destinées à la consommation humaine.</w:t>
        </w:r>
      </w:hyperlink>
    </w:p>
    <w:p w:rsidR="00850692" w:rsidRDefault="00850692" w:rsidP="00F179BF">
      <w:pPr>
        <w:pStyle w:val="Textebrut"/>
      </w:pPr>
    </w:p>
    <w:p w:rsidR="00682382" w:rsidRDefault="00682382" w:rsidP="00F179BF">
      <w:pPr>
        <w:pStyle w:val="Textebrut"/>
      </w:pPr>
    </w:p>
    <w:p w:rsidR="00850692" w:rsidRDefault="00850692" w:rsidP="00F179BF">
      <w:pPr>
        <w:pStyle w:val="Textebrut"/>
      </w:pPr>
    </w:p>
    <w:p w:rsidR="00850692" w:rsidRDefault="00F67A6C" w:rsidP="00F67A6C">
      <w:pPr>
        <w:pStyle w:val="Textebrut"/>
        <w:pBdr>
          <w:left w:val="single" w:sz="4" w:space="4" w:color="auto"/>
        </w:pBdr>
      </w:pPr>
      <w:r>
        <w:sym w:font="Wingdings" w:char="F0E8"/>
      </w:r>
      <w:r>
        <w:t xml:space="preserve"> </w:t>
      </w:r>
      <w:r w:rsidRPr="00F67A6C">
        <w:rPr>
          <w:b/>
        </w:rPr>
        <w:t>Contribution financière des agences de l’eau</w:t>
      </w:r>
    </w:p>
    <w:p w:rsidR="00F67A6C" w:rsidRDefault="00F67A6C" w:rsidP="00F67A6C">
      <w:pPr>
        <w:pStyle w:val="Textebrut"/>
        <w:pBdr>
          <w:left w:val="single" w:sz="4" w:space="4" w:color="auto"/>
        </w:pBdr>
      </w:pPr>
    </w:p>
    <w:p w:rsidR="00850692" w:rsidRPr="00F67A6C" w:rsidRDefault="00577F8E" w:rsidP="00F67A6C">
      <w:pPr>
        <w:pStyle w:val="Textebrut"/>
        <w:pBdr>
          <w:left w:val="single" w:sz="4" w:space="4" w:color="auto"/>
        </w:pBdr>
        <w:rPr>
          <w:i/>
        </w:rPr>
      </w:pPr>
      <w:hyperlink r:id="rId15" w:history="1">
        <w:r w:rsidR="00850692" w:rsidRPr="00F67A6C">
          <w:rPr>
            <w:rStyle w:val="Lienhypertexte"/>
            <w:b/>
            <w:i/>
            <w:color w:val="auto"/>
          </w:rPr>
          <w:t>Arrêté du 6 février 2026</w:t>
        </w:r>
        <w:r w:rsidR="00850692" w:rsidRPr="00F67A6C">
          <w:rPr>
            <w:rStyle w:val="Lienhypertexte"/>
            <w:i/>
            <w:color w:val="auto"/>
          </w:rPr>
          <w:t xml:space="preserve"> relatif à la contribution financière des agences de l'eau à l'Office français de la biodiversité pour l'année 2026</w:t>
        </w:r>
        <w:r w:rsidR="00F67A6C" w:rsidRPr="00F67A6C">
          <w:rPr>
            <w:rStyle w:val="Lienhypertexte"/>
            <w:i/>
            <w:color w:val="auto"/>
          </w:rPr>
          <w:t>.</w:t>
        </w:r>
      </w:hyperlink>
    </w:p>
    <w:p w:rsidR="00F67A6C" w:rsidRDefault="00F67A6C" w:rsidP="00850692">
      <w:pPr>
        <w:pStyle w:val="Textebrut"/>
      </w:pPr>
    </w:p>
    <w:p w:rsidR="00850692" w:rsidRDefault="00850692" w:rsidP="00F179BF">
      <w:pPr>
        <w:pStyle w:val="Textebrut"/>
      </w:pPr>
    </w:p>
    <w:p w:rsidR="00850692" w:rsidRDefault="00850692" w:rsidP="00F179BF">
      <w:pPr>
        <w:pStyle w:val="Textebrut"/>
      </w:pPr>
    </w:p>
    <w:p w:rsidR="00EE5D4B" w:rsidRDefault="00EE5D4B" w:rsidP="00EE5D4B">
      <w:pPr>
        <w:pStyle w:val="Titre1"/>
      </w:pPr>
      <w:bookmarkStart w:id="4" w:name="_Toc223439935"/>
      <w:r>
        <w:t>Emissions de gaz à effet de serre</w:t>
      </w:r>
      <w:bookmarkEnd w:id="4"/>
    </w:p>
    <w:p w:rsidR="00EE5D4B" w:rsidRDefault="00EE5D4B" w:rsidP="005C2FCC">
      <w:pPr>
        <w:jc w:val="both"/>
      </w:pPr>
    </w:p>
    <w:p w:rsidR="00035BCB" w:rsidRPr="005C2FCC" w:rsidRDefault="00035BCB" w:rsidP="00975620">
      <w:pPr>
        <w:pBdr>
          <w:left w:val="single" w:sz="4" w:space="4" w:color="auto"/>
        </w:pBdr>
        <w:jc w:val="both"/>
        <w:rPr>
          <w:b/>
        </w:rPr>
      </w:pPr>
      <w:r w:rsidRPr="005C2FCC">
        <w:rPr>
          <w:b/>
        </w:rPr>
        <w:sym w:font="Wingdings" w:char="F0E8"/>
      </w:r>
      <w:r w:rsidRPr="005C2FCC">
        <w:rPr>
          <w:b/>
        </w:rPr>
        <w:t xml:space="preserve"> </w:t>
      </w:r>
      <w:r w:rsidR="005C2FCC" w:rsidRPr="005C2FCC">
        <w:rPr>
          <w:b/>
        </w:rPr>
        <w:t>E</w:t>
      </w:r>
      <w:r w:rsidR="005C2FCC" w:rsidRPr="005C2FCC">
        <w:rPr>
          <w:b/>
        </w:rPr>
        <w:t>ntreprises soumises à l’obligation de réaliser un audit énergétique ou de mettre en place</w:t>
      </w:r>
      <w:r w:rsidR="005C2FCC" w:rsidRPr="005C2FCC">
        <w:rPr>
          <w:b/>
        </w:rPr>
        <w:t xml:space="preserve"> </w:t>
      </w:r>
      <w:r w:rsidR="005C2FCC" w:rsidRPr="005C2FCC">
        <w:rPr>
          <w:b/>
        </w:rPr>
        <w:t>un système de management de l’énergie et qui sont exposées à un risque significatif de fuite de carbone</w:t>
      </w:r>
    </w:p>
    <w:p w:rsidR="00035BCB" w:rsidRDefault="00035BCB" w:rsidP="00975620">
      <w:pPr>
        <w:pBdr>
          <w:left w:val="single" w:sz="4" w:space="4" w:color="auto"/>
        </w:pBdr>
        <w:jc w:val="both"/>
      </w:pPr>
    </w:p>
    <w:p w:rsidR="00035BCB" w:rsidRDefault="00035BCB" w:rsidP="00975620">
      <w:pPr>
        <w:pBdr>
          <w:left w:val="single" w:sz="4" w:space="4" w:color="auto"/>
        </w:pBdr>
        <w:jc w:val="both"/>
      </w:pPr>
      <w:r>
        <w:t xml:space="preserve">Le présent décret met en cohérence le dispositif national avec les nouvelles obligations d’audit énergétique et de système de management de l’énergie (SME) issues de la directive (UE) 2023/1791 relative à l’efficacité énergétique transposée par la loi n°2025-391 du 30 avril 2025. </w:t>
      </w:r>
    </w:p>
    <w:p w:rsidR="00035BCB" w:rsidRDefault="00035BCB" w:rsidP="00975620">
      <w:pPr>
        <w:pBdr>
          <w:left w:val="single" w:sz="4" w:space="4" w:color="auto"/>
        </w:pBdr>
        <w:jc w:val="both"/>
      </w:pPr>
    </w:p>
    <w:p w:rsidR="00035BCB" w:rsidRDefault="00035BCB" w:rsidP="00975620">
      <w:pPr>
        <w:pBdr>
          <w:left w:val="single" w:sz="4" w:space="4" w:color="auto"/>
        </w:pBdr>
        <w:jc w:val="both"/>
      </w:pPr>
      <w:r>
        <w:t xml:space="preserve">Il prévoit en outre l’aménagement des délais de transmission pour les entreprises nouvellement assujetties et précise les règles applicables aux périodes de référence des plans de performance énergétique (PPE) pour les différents cas. </w:t>
      </w:r>
    </w:p>
    <w:p w:rsidR="00035BCB" w:rsidRDefault="00035BCB" w:rsidP="00975620">
      <w:pPr>
        <w:pBdr>
          <w:left w:val="single" w:sz="4" w:space="4" w:color="auto"/>
        </w:pBdr>
        <w:jc w:val="both"/>
      </w:pPr>
    </w:p>
    <w:p w:rsidR="00035BCB" w:rsidRDefault="00035BCB" w:rsidP="00975620">
      <w:pPr>
        <w:pBdr>
          <w:left w:val="single" w:sz="4" w:space="4" w:color="auto"/>
        </w:pBdr>
        <w:jc w:val="both"/>
      </w:pPr>
      <w:r>
        <w:t>Par ailleurs, il actualise des références juridiques et supprime des dispositions transitoires devenues sans objet.</w:t>
      </w:r>
    </w:p>
    <w:p w:rsidR="00035BCB" w:rsidRDefault="00035BCB" w:rsidP="00975620">
      <w:pPr>
        <w:pBdr>
          <w:left w:val="single" w:sz="4" w:space="4" w:color="auto"/>
        </w:pBdr>
        <w:jc w:val="both"/>
      </w:pPr>
    </w:p>
    <w:p w:rsidR="00035BCB" w:rsidRPr="00035BCB" w:rsidRDefault="00577F8E" w:rsidP="00975620">
      <w:pPr>
        <w:pBdr>
          <w:left w:val="single" w:sz="4" w:space="4" w:color="auto"/>
        </w:pBdr>
        <w:jc w:val="both"/>
        <w:rPr>
          <w:i/>
        </w:rPr>
      </w:pPr>
      <w:hyperlink r:id="rId16" w:history="1">
        <w:r w:rsidR="00035BCB" w:rsidRPr="00035BCB">
          <w:rPr>
            <w:rStyle w:val="Lienhypertexte"/>
            <w:b/>
            <w:i/>
            <w:color w:val="auto"/>
          </w:rPr>
          <w:t>Décret n° 2026-113 du 20 février 2026</w:t>
        </w:r>
        <w:r w:rsidR="00035BCB" w:rsidRPr="00035BCB">
          <w:rPr>
            <w:rStyle w:val="Lienhypertexte"/>
            <w:i/>
            <w:color w:val="auto"/>
          </w:rPr>
          <w:t xml:space="preserve"> relatif à l'aide en faveur des entreprises exposées à un risque significatif</w:t>
        </w:r>
        <w:r w:rsidR="00035BCB" w:rsidRPr="00035BCB">
          <w:rPr>
            <w:rStyle w:val="Lienhypertexte"/>
            <w:i/>
            <w:color w:val="auto"/>
          </w:rPr>
          <w:t xml:space="preserve"> </w:t>
        </w:r>
        <w:r w:rsidR="00035BCB" w:rsidRPr="00035BCB">
          <w:rPr>
            <w:rStyle w:val="Lienhypertexte"/>
            <w:i/>
            <w:color w:val="auto"/>
          </w:rPr>
          <w:t>de fuite de carbone en raison des coûts du système d'échange de quotas d'émission de gaz à effet de serre répercutés sur les prix de l'électricité.</w:t>
        </w:r>
      </w:hyperlink>
    </w:p>
    <w:p w:rsidR="00035BCB" w:rsidRDefault="00035BCB" w:rsidP="00035BCB">
      <w:pPr>
        <w:jc w:val="both"/>
      </w:pPr>
    </w:p>
    <w:p w:rsidR="005C2FCC" w:rsidRDefault="005C2FCC" w:rsidP="00FF1864">
      <w:pPr>
        <w:jc w:val="both"/>
      </w:pPr>
    </w:p>
    <w:p w:rsidR="00595D52" w:rsidRDefault="00595D52" w:rsidP="00FF1864">
      <w:pPr>
        <w:jc w:val="both"/>
      </w:pPr>
    </w:p>
    <w:p w:rsidR="00595D52" w:rsidRPr="00310F77" w:rsidRDefault="00595D52" w:rsidP="00310F77">
      <w:pPr>
        <w:pBdr>
          <w:left w:val="single" w:sz="4" w:space="4" w:color="auto"/>
        </w:pBdr>
        <w:jc w:val="both"/>
        <w:rPr>
          <w:b/>
        </w:rPr>
      </w:pPr>
      <w:r w:rsidRPr="00310F77">
        <w:rPr>
          <w:b/>
        </w:rPr>
        <w:sym w:font="Wingdings" w:char="F0E8"/>
      </w:r>
      <w:r w:rsidRPr="00310F77">
        <w:rPr>
          <w:b/>
        </w:rPr>
        <w:t xml:space="preserve"> </w:t>
      </w:r>
      <w:r w:rsidR="00310F77" w:rsidRPr="00310F77">
        <w:rPr>
          <w:b/>
        </w:rPr>
        <w:t>M</w:t>
      </w:r>
      <w:r w:rsidR="00310F77" w:rsidRPr="00310F77">
        <w:rPr>
          <w:b/>
        </w:rPr>
        <w:t>odalités de gestion</w:t>
      </w:r>
      <w:r w:rsidR="00310F77" w:rsidRPr="00310F77">
        <w:rPr>
          <w:b/>
        </w:rPr>
        <w:t xml:space="preserve"> </w:t>
      </w:r>
      <w:r w:rsidR="00310F77" w:rsidRPr="00310F77">
        <w:rPr>
          <w:b/>
        </w:rPr>
        <w:t>et à la publication d’informations de l’aide en faveur des entreprises exposées à un risque</w:t>
      </w:r>
      <w:r w:rsidR="00310F77" w:rsidRPr="00310F77">
        <w:rPr>
          <w:b/>
        </w:rPr>
        <w:t xml:space="preserve"> </w:t>
      </w:r>
      <w:r w:rsidR="00310F77" w:rsidRPr="00310F77">
        <w:rPr>
          <w:b/>
        </w:rPr>
        <w:t>significatif de fuite de carbone</w:t>
      </w:r>
    </w:p>
    <w:p w:rsidR="005C2FCC" w:rsidRDefault="005C2FCC" w:rsidP="00310F77">
      <w:pPr>
        <w:pBdr>
          <w:left w:val="single" w:sz="4" w:space="4" w:color="auto"/>
        </w:pBdr>
        <w:jc w:val="both"/>
      </w:pPr>
    </w:p>
    <w:p w:rsidR="005C2FCC" w:rsidRPr="00B519A5" w:rsidRDefault="00B519A5" w:rsidP="00310F77">
      <w:pPr>
        <w:pStyle w:val="Textebrut"/>
        <w:pBdr>
          <w:left w:val="single" w:sz="4" w:space="4" w:color="auto"/>
        </w:pBdr>
        <w:jc w:val="both"/>
        <w:rPr>
          <w:i/>
        </w:rPr>
      </w:pPr>
      <w:hyperlink r:id="rId17" w:history="1">
        <w:r w:rsidR="005C2FCC" w:rsidRPr="00B519A5">
          <w:rPr>
            <w:rStyle w:val="Lienhypertexte"/>
            <w:b/>
            <w:i/>
            <w:color w:val="auto"/>
          </w:rPr>
          <w:t>Arrêté du 23 février 2026</w:t>
        </w:r>
        <w:r w:rsidR="005C2FCC" w:rsidRPr="00B519A5">
          <w:rPr>
            <w:rStyle w:val="Lienhypertexte"/>
            <w:i/>
            <w:color w:val="auto"/>
          </w:rPr>
          <w:t xml:space="preserve"> modifiant l'arrêté du 20 décembre 2022 relatif aux modalités de gestion et à la publication d'informations de l'aide en faveur des entreprises exposées à un risque significatif de fuite de carbone en raison des coûts du système d'échange de quotas d'émission de gaz à effet de serre répercutés sur le prix de l'électricité</w:t>
        </w:r>
        <w:r w:rsidRPr="00B519A5">
          <w:rPr>
            <w:rStyle w:val="Lienhypertexte"/>
            <w:i/>
            <w:color w:val="auto"/>
          </w:rPr>
          <w:t>.</w:t>
        </w:r>
      </w:hyperlink>
    </w:p>
    <w:p w:rsidR="00B519A5" w:rsidRDefault="00B519A5" w:rsidP="005C2FCC">
      <w:pPr>
        <w:pStyle w:val="Textebrut"/>
      </w:pPr>
    </w:p>
    <w:p w:rsidR="005C2FCC" w:rsidRDefault="005C2FCC" w:rsidP="005C2FCC">
      <w:pPr>
        <w:pStyle w:val="Textebrut"/>
      </w:pPr>
    </w:p>
    <w:p w:rsidR="00682382" w:rsidRDefault="00682382" w:rsidP="005C2FCC">
      <w:pPr>
        <w:pStyle w:val="Textebrut"/>
      </w:pPr>
    </w:p>
    <w:p w:rsidR="000E6286" w:rsidRDefault="000E6286" w:rsidP="000E6286">
      <w:pPr>
        <w:pStyle w:val="Titre1"/>
      </w:pPr>
      <w:bookmarkStart w:id="5" w:name="_Toc223439936"/>
      <w:r>
        <w:t>Installations classées pour la protection de l’environnement</w:t>
      </w:r>
      <w:bookmarkEnd w:id="5"/>
    </w:p>
    <w:p w:rsidR="000E6286" w:rsidRDefault="000E6286" w:rsidP="000E6286">
      <w:pPr>
        <w:pStyle w:val="Textebrut"/>
        <w:jc w:val="both"/>
      </w:pPr>
    </w:p>
    <w:p w:rsidR="00732C94" w:rsidRPr="00732C94" w:rsidRDefault="00732C94" w:rsidP="00AA5B21">
      <w:pPr>
        <w:pStyle w:val="Textebrut"/>
        <w:pBdr>
          <w:left w:val="single" w:sz="4" w:space="4" w:color="auto"/>
        </w:pBdr>
        <w:jc w:val="both"/>
        <w:rPr>
          <w:b/>
        </w:rPr>
      </w:pPr>
      <w:r w:rsidRPr="00732C94">
        <w:rPr>
          <w:b/>
        </w:rPr>
        <w:sym w:font="Wingdings" w:char="F0E8"/>
      </w:r>
      <w:r w:rsidRPr="00732C94">
        <w:rPr>
          <w:b/>
        </w:rPr>
        <w:t xml:space="preserve"> Relèvement des seuils de l’enregistrement pour les rubriques 2101-1 et 2101-2, modification de la rubrique 3660 et modification du nota pour la rubrique 2120</w:t>
      </w:r>
    </w:p>
    <w:p w:rsidR="00732C94" w:rsidRDefault="00732C94" w:rsidP="00AA5B21">
      <w:pPr>
        <w:pStyle w:val="Textebrut"/>
        <w:pBdr>
          <w:left w:val="single" w:sz="4" w:space="4" w:color="auto"/>
        </w:pBdr>
        <w:jc w:val="both"/>
      </w:pPr>
    </w:p>
    <w:p w:rsidR="00AA5B21" w:rsidRDefault="00AA5B21" w:rsidP="00AA5B21">
      <w:pPr>
        <w:pStyle w:val="Textebrut"/>
        <w:pBdr>
          <w:left w:val="single" w:sz="4" w:space="4" w:color="auto"/>
        </w:pBdr>
        <w:jc w:val="both"/>
      </w:pPr>
      <w:r>
        <w:t>Les dispositions relatives au relèvement des seuils de l’enregistrement pour les rubriques 2101 (bovins) et 2120 (chiens) entrent en vigueur au lendemain de la publication du décret. Les dispositions relatives à la modification de la rubrique 3660 (élevage intensif de volailles ou de porcs) entrent en vigueur à la</w:t>
      </w:r>
    </w:p>
    <w:p w:rsidR="00732C94" w:rsidRDefault="00AA5B21" w:rsidP="00AA5B21">
      <w:pPr>
        <w:pStyle w:val="Textebrut"/>
        <w:pBdr>
          <w:left w:val="single" w:sz="4" w:space="4" w:color="auto"/>
        </w:pBdr>
        <w:jc w:val="both"/>
      </w:pPr>
      <w:proofErr w:type="gramStart"/>
      <w:r>
        <w:t>date</w:t>
      </w:r>
      <w:proofErr w:type="gramEnd"/>
      <w:r>
        <w:t xml:space="preserve"> d’entrée en vigueur des dispositions transposant l’acte d’exécution prévu au 2 de l’article 70 decies de la directive 2010/75/UE du Parlement européen et du Conseil du 24 novembre 2010 relative aux émissions industrielles et aux émissions de l’élevage (prévention et réduction intégrées de la pollution).</w:t>
      </w:r>
    </w:p>
    <w:p w:rsidR="00732C94" w:rsidRDefault="00732C94" w:rsidP="00AA5B21">
      <w:pPr>
        <w:pStyle w:val="Textebrut"/>
        <w:pBdr>
          <w:left w:val="single" w:sz="4" w:space="4" w:color="auto"/>
        </w:pBdr>
        <w:jc w:val="both"/>
      </w:pPr>
    </w:p>
    <w:p w:rsidR="00732C94" w:rsidRPr="00732C94" w:rsidRDefault="00577F8E" w:rsidP="00AA5B21">
      <w:pPr>
        <w:pStyle w:val="Textebrut"/>
        <w:pBdr>
          <w:left w:val="single" w:sz="4" w:space="4" w:color="auto"/>
        </w:pBdr>
        <w:jc w:val="both"/>
        <w:rPr>
          <w:i/>
        </w:rPr>
      </w:pPr>
      <w:hyperlink r:id="rId18" w:history="1">
        <w:r w:rsidR="00732C94" w:rsidRPr="00732C94">
          <w:rPr>
            <w:rStyle w:val="Lienhypertexte"/>
            <w:b/>
            <w:i/>
            <w:color w:val="auto"/>
          </w:rPr>
          <w:t>Décret n° 2026-46 du 2 février 2026</w:t>
        </w:r>
        <w:r w:rsidR="00732C94" w:rsidRPr="00732C94">
          <w:rPr>
            <w:rStyle w:val="Lienhypertexte"/>
            <w:i/>
            <w:color w:val="auto"/>
          </w:rPr>
          <w:t xml:space="preserve"> modifiant la nomenclature des installations classées pour la protection de l'environnement.</w:t>
        </w:r>
      </w:hyperlink>
    </w:p>
    <w:p w:rsidR="00732C94" w:rsidRPr="006C13AD" w:rsidRDefault="00732C94" w:rsidP="00732C94">
      <w:pPr>
        <w:pStyle w:val="Textebrut"/>
      </w:pPr>
    </w:p>
    <w:p w:rsidR="00644658" w:rsidRPr="006C13AD" w:rsidRDefault="00644658" w:rsidP="000E6286">
      <w:pPr>
        <w:jc w:val="both"/>
        <w:rPr>
          <w:rStyle w:val="Lienhypertexte"/>
          <w:color w:val="auto"/>
          <w:u w:val="none"/>
        </w:rPr>
      </w:pPr>
    </w:p>
    <w:p w:rsidR="006C13AD" w:rsidRPr="006C13AD" w:rsidRDefault="006C13AD" w:rsidP="000E6286">
      <w:pPr>
        <w:jc w:val="both"/>
        <w:rPr>
          <w:rStyle w:val="Lienhypertexte"/>
          <w:color w:val="auto"/>
          <w:u w:val="none"/>
        </w:rPr>
      </w:pPr>
    </w:p>
    <w:p w:rsidR="006C13AD" w:rsidRPr="000B0685" w:rsidRDefault="006C13AD" w:rsidP="000B0685">
      <w:pPr>
        <w:pBdr>
          <w:left w:val="single" w:sz="4" w:space="4" w:color="auto"/>
        </w:pBdr>
        <w:jc w:val="both"/>
        <w:rPr>
          <w:rStyle w:val="Lienhypertexte"/>
          <w:b/>
          <w:color w:val="auto"/>
          <w:u w:val="none"/>
        </w:rPr>
      </w:pPr>
      <w:r w:rsidRPr="000B0685">
        <w:rPr>
          <w:rStyle w:val="Lienhypertexte"/>
          <w:b/>
          <w:color w:val="auto"/>
          <w:u w:val="none"/>
        </w:rPr>
        <w:sym w:font="Wingdings" w:char="F0E8"/>
      </w:r>
      <w:r w:rsidRPr="000B0685">
        <w:rPr>
          <w:rStyle w:val="Lienhypertexte"/>
          <w:b/>
          <w:color w:val="auto"/>
          <w:u w:val="none"/>
        </w:rPr>
        <w:t xml:space="preserve"> </w:t>
      </w:r>
      <w:r w:rsidR="000B0685" w:rsidRPr="000B0685">
        <w:rPr>
          <w:rStyle w:val="Lienhypertexte"/>
          <w:b/>
          <w:color w:val="auto"/>
          <w:u w:val="none"/>
        </w:rPr>
        <w:t>Méthodes normalisées de référence à mettre en œuvre pour la réalisation des mesures de suivi des substances rejetées dans l’air, l’eau et les sols dans les ICPE</w:t>
      </w:r>
    </w:p>
    <w:p w:rsidR="006C13AD" w:rsidRDefault="006C13AD" w:rsidP="000B0685">
      <w:pPr>
        <w:pBdr>
          <w:left w:val="single" w:sz="4" w:space="4" w:color="auto"/>
        </w:pBdr>
        <w:jc w:val="both"/>
        <w:rPr>
          <w:rStyle w:val="Lienhypertexte"/>
          <w:color w:val="auto"/>
          <w:u w:val="none"/>
        </w:rPr>
      </w:pPr>
    </w:p>
    <w:p w:rsidR="006C13AD" w:rsidRDefault="006C13AD" w:rsidP="000B0685">
      <w:pPr>
        <w:pBdr>
          <w:left w:val="single" w:sz="4" w:space="4" w:color="auto"/>
        </w:pBdr>
        <w:jc w:val="both"/>
        <w:rPr>
          <w:rStyle w:val="Lienhypertexte"/>
          <w:color w:val="auto"/>
          <w:u w:val="none"/>
        </w:rPr>
      </w:pPr>
      <w:r w:rsidRPr="006C13AD">
        <w:rPr>
          <w:rStyle w:val="Lienhypertexte"/>
          <w:color w:val="auto"/>
          <w:u w:val="none"/>
        </w:rPr>
        <w:t>Cet avis abroge et remplace l'avis sur les méthodes normalisées de référence pour les mesures dans l'air, l'eau et les sols dans les installations classées pour la protection de l'environnement publié au Journal officiel de la République française du 16 mai 2025</w:t>
      </w:r>
      <w:r w:rsidR="000B0685">
        <w:rPr>
          <w:rStyle w:val="Lienhypertexte"/>
          <w:color w:val="auto"/>
          <w:u w:val="none"/>
        </w:rPr>
        <w:t>.</w:t>
      </w:r>
    </w:p>
    <w:p w:rsidR="006C13AD" w:rsidRPr="006C13AD" w:rsidRDefault="006C13AD" w:rsidP="000B0685">
      <w:pPr>
        <w:pBdr>
          <w:left w:val="single" w:sz="4" w:space="4" w:color="auto"/>
        </w:pBdr>
        <w:jc w:val="both"/>
        <w:rPr>
          <w:rStyle w:val="Lienhypertexte"/>
          <w:color w:val="auto"/>
          <w:u w:val="none"/>
        </w:rPr>
      </w:pPr>
    </w:p>
    <w:p w:rsidR="006C13AD" w:rsidRPr="006C13AD" w:rsidRDefault="00577F8E" w:rsidP="000B0685">
      <w:pPr>
        <w:pBdr>
          <w:left w:val="single" w:sz="4" w:space="4" w:color="auto"/>
        </w:pBdr>
        <w:jc w:val="both"/>
        <w:rPr>
          <w:rStyle w:val="Lienhypertexte"/>
          <w:i/>
          <w:color w:val="auto"/>
          <w:u w:val="none"/>
        </w:rPr>
      </w:pPr>
      <w:hyperlink r:id="rId19" w:history="1">
        <w:r w:rsidR="006C13AD" w:rsidRPr="006C13AD">
          <w:rPr>
            <w:rStyle w:val="Lienhypertexte"/>
            <w:b/>
            <w:i/>
            <w:color w:val="auto"/>
          </w:rPr>
          <w:t>Avis du 18 février 2026</w:t>
        </w:r>
        <w:r w:rsidR="006C13AD">
          <w:rPr>
            <w:rStyle w:val="Lienhypertexte"/>
            <w:i/>
            <w:color w:val="auto"/>
          </w:rPr>
          <w:t xml:space="preserve"> </w:t>
        </w:r>
        <w:r w:rsidR="006C13AD" w:rsidRPr="006C13AD">
          <w:rPr>
            <w:rStyle w:val="Lienhypertexte"/>
            <w:i/>
            <w:color w:val="auto"/>
          </w:rPr>
          <w:t>sur les méthodes normalisées de référence pour les mesures dans l'air, l'eau et les sols dans les installations classées pour la protection de l'environnement.</w:t>
        </w:r>
      </w:hyperlink>
    </w:p>
    <w:p w:rsidR="006C13AD" w:rsidRDefault="006C13AD" w:rsidP="006C13AD">
      <w:pPr>
        <w:jc w:val="both"/>
        <w:rPr>
          <w:rStyle w:val="Lienhypertexte"/>
          <w:color w:val="auto"/>
          <w:u w:val="none"/>
        </w:rPr>
      </w:pPr>
    </w:p>
    <w:p w:rsidR="006C13AD" w:rsidRDefault="006C13AD" w:rsidP="006C13AD">
      <w:pPr>
        <w:jc w:val="both"/>
        <w:rPr>
          <w:rStyle w:val="Lienhypertexte"/>
          <w:color w:val="auto"/>
          <w:u w:val="none"/>
        </w:rPr>
      </w:pPr>
    </w:p>
    <w:p w:rsidR="00682382" w:rsidRDefault="00682382" w:rsidP="006C13AD">
      <w:pPr>
        <w:jc w:val="both"/>
        <w:rPr>
          <w:rStyle w:val="Lienhypertexte"/>
          <w:color w:val="auto"/>
          <w:u w:val="none"/>
        </w:rPr>
      </w:pPr>
    </w:p>
    <w:p w:rsidR="00277C30" w:rsidRDefault="00277C30" w:rsidP="00277C30">
      <w:pPr>
        <w:pStyle w:val="Titre1"/>
      </w:pPr>
      <w:bookmarkStart w:id="6" w:name="_Toc223439937"/>
      <w:r>
        <w:t>Loi</w:t>
      </w:r>
      <w:bookmarkEnd w:id="6"/>
    </w:p>
    <w:p w:rsidR="006C13AD" w:rsidRPr="00277C30" w:rsidRDefault="006C13AD" w:rsidP="006C13AD">
      <w:pPr>
        <w:jc w:val="both"/>
        <w:rPr>
          <w:rStyle w:val="Lienhypertexte"/>
          <w:color w:val="auto"/>
          <w:u w:val="none"/>
        </w:rPr>
      </w:pPr>
    </w:p>
    <w:p w:rsidR="00277C30" w:rsidRPr="00277C30" w:rsidRDefault="00277C30" w:rsidP="00277C30">
      <w:pPr>
        <w:pBdr>
          <w:left w:val="single" w:sz="4" w:space="4" w:color="auto"/>
        </w:pBdr>
        <w:jc w:val="both"/>
        <w:rPr>
          <w:rStyle w:val="Lienhypertexte"/>
          <w:b/>
          <w:color w:val="auto"/>
          <w:u w:val="none"/>
        </w:rPr>
      </w:pPr>
      <w:r w:rsidRPr="00277C30">
        <w:rPr>
          <w:rStyle w:val="Lienhypertexte"/>
          <w:b/>
          <w:color w:val="auto"/>
          <w:u w:val="none"/>
        </w:rPr>
        <w:sym w:font="Wingdings" w:char="F0E8"/>
      </w:r>
      <w:r w:rsidRPr="00277C30">
        <w:rPr>
          <w:rStyle w:val="Lienhypertexte"/>
          <w:b/>
          <w:color w:val="auto"/>
          <w:u w:val="none"/>
        </w:rPr>
        <w:t xml:space="preserve"> Loi de finance</w:t>
      </w:r>
    </w:p>
    <w:p w:rsidR="006E1B15" w:rsidRDefault="006E1B15" w:rsidP="00277C30">
      <w:pPr>
        <w:pStyle w:val="Textebrut"/>
        <w:pBdr>
          <w:left w:val="single" w:sz="4" w:space="4" w:color="auto"/>
        </w:pBdr>
      </w:pPr>
    </w:p>
    <w:p w:rsidR="00277C30" w:rsidRPr="00277C30" w:rsidRDefault="00577F8E" w:rsidP="00277C30">
      <w:pPr>
        <w:pStyle w:val="Textebrut"/>
        <w:pBdr>
          <w:left w:val="single" w:sz="4" w:space="4" w:color="auto"/>
        </w:pBdr>
        <w:rPr>
          <w:i/>
        </w:rPr>
      </w:pPr>
      <w:hyperlink r:id="rId20" w:history="1">
        <w:r w:rsidR="00277C30" w:rsidRPr="00277C30">
          <w:rPr>
            <w:rStyle w:val="Lienhypertexte"/>
            <w:b/>
            <w:i/>
            <w:color w:val="auto"/>
          </w:rPr>
          <w:t>Loi n° 2026-103 du 19 février 2026 de finances</w:t>
        </w:r>
        <w:r w:rsidR="00277C30" w:rsidRPr="00277C30">
          <w:rPr>
            <w:rStyle w:val="Lienhypertexte"/>
            <w:i/>
            <w:color w:val="auto"/>
          </w:rPr>
          <w:t xml:space="preserve"> pour 2026 (1)</w:t>
        </w:r>
      </w:hyperlink>
    </w:p>
    <w:p w:rsidR="00277C30" w:rsidRDefault="00277C30" w:rsidP="00277C30">
      <w:pPr>
        <w:pStyle w:val="Textebrut"/>
      </w:pPr>
      <w:bookmarkStart w:id="7" w:name="_GoBack"/>
      <w:bookmarkEnd w:id="7"/>
    </w:p>
    <w:p w:rsidR="00277C30" w:rsidRPr="00277C30" w:rsidRDefault="00277C30" w:rsidP="006C13AD">
      <w:pPr>
        <w:jc w:val="both"/>
        <w:rPr>
          <w:rStyle w:val="Lienhypertexte"/>
          <w:color w:val="auto"/>
          <w:u w:val="none"/>
        </w:rPr>
      </w:pPr>
    </w:p>
    <w:p w:rsidR="000E6286" w:rsidRDefault="000E6286" w:rsidP="000E6286">
      <w:pPr>
        <w:jc w:val="both"/>
      </w:pPr>
    </w:p>
    <w:p w:rsidR="000E6286" w:rsidRDefault="00D34505" w:rsidP="000E6286">
      <w:pPr>
        <w:pStyle w:val="Titre1"/>
      </w:pPr>
      <w:bookmarkStart w:id="8" w:name="_Toc223439938"/>
      <w:r>
        <w:t>Norme</w:t>
      </w:r>
      <w:bookmarkEnd w:id="8"/>
    </w:p>
    <w:p w:rsidR="000E6286" w:rsidRDefault="000E6286" w:rsidP="000E6286">
      <w:pPr>
        <w:jc w:val="both"/>
      </w:pPr>
    </w:p>
    <w:p w:rsidR="00347591" w:rsidRPr="00D34505" w:rsidRDefault="00D34505" w:rsidP="00F338B4">
      <w:pPr>
        <w:pBdr>
          <w:left w:val="single" w:sz="4" w:space="4" w:color="auto"/>
        </w:pBdr>
        <w:jc w:val="both"/>
        <w:rPr>
          <w:b/>
        </w:rPr>
      </w:pPr>
      <w:r w:rsidRPr="00D34505">
        <w:rPr>
          <w:b/>
        </w:rPr>
        <w:sym w:font="Wingdings" w:char="F0E8"/>
      </w:r>
      <w:r w:rsidRPr="00D34505">
        <w:rPr>
          <w:b/>
        </w:rPr>
        <w:t xml:space="preserve"> Diverses dispositions d’adaptation du système français de normalisation</w:t>
      </w:r>
    </w:p>
    <w:p w:rsidR="00D34505" w:rsidRDefault="00D34505" w:rsidP="00F338B4">
      <w:pPr>
        <w:pBdr>
          <w:left w:val="single" w:sz="4" w:space="4" w:color="auto"/>
        </w:pBdr>
        <w:jc w:val="both"/>
      </w:pPr>
    </w:p>
    <w:p w:rsidR="00B04593" w:rsidRDefault="00B04593" w:rsidP="00F338B4">
      <w:pPr>
        <w:pBdr>
          <w:left w:val="single" w:sz="4" w:space="4" w:color="auto"/>
        </w:pBdr>
        <w:jc w:val="both"/>
      </w:pPr>
      <w:r>
        <w:t>Le décret clarifie les missions du délégué interministériel aux normes (DIN) et la place de la normalisation volontaire par rapport aux normes juridiques issues de la législation ou de la réglementation en désignant désormais le DIN sous le titre de délégué interministériel à la normalisation. Les responsables ministériels aux normes chargés de coordonner au sein de leur ministère le suivi des travaux de normalisation deviennent également responsables ministériels à la normalisation.</w:t>
      </w:r>
    </w:p>
    <w:p w:rsidR="00B04593" w:rsidRDefault="00B04593" w:rsidP="00F338B4">
      <w:pPr>
        <w:pBdr>
          <w:left w:val="single" w:sz="4" w:space="4" w:color="auto"/>
        </w:pBdr>
        <w:jc w:val="both"/>
      </w:pPr>
    </w:p>
    <w:p w:rsidR="00B04593" w:rsidRDefault="00B04593" w:rsidP="00F338B4">
      <w:pPr>
        <w:pBdr>
          <w:left w:val="single" w:sz="4" w:space="4" w:color="auto"/>
        </w:pBdr>
        <w:jc w:val="both"/>
      </w:pPr>
      <w:r>
        <w:t xml:space="preserve">Le décret assouplit la possibilité pour l’Association française de normalisation (AFNOR) de se faire représenter au sein des organes délibérants des organisations de normalisation européennes et internationales. </w:t>
      </w:r>
    </w:p>
    <w:p w:rsidR="00765931" w:rsidRDefault="00B04593" w:rsidP="00F338B4">
      <w:pPr>
        <w:pBdr>
          <w:left w:val="single" w:sz="4" w:space="4" w:color="auto"/>
        </w:pBdr>
        <w:jc w:val="both"/>
      </w:pPr>
      <w:r>
        <w:t>Le décret précise par ailleurs les prérogatives du DIN au sein du comité prévu au troisième alinéa de l’article 5 du décret, qui s’intitule comité de coordination et de pilotage de la normalisation. L’inscription d’un point à l’ordre du jour du comité de coordination et de pilotage de la normalisation est de droit lorsque le DIN le demande. Le DIN peut également demander une seconde délibération du comité de coordination et de pilotage de la normalisation sur certaines décisions méconnaissant des dispositions législatives ou réglementaires, contraires à la politique française de normalisation ou de nature à</w:t>
      </w:r>
      <w:r w:rsidR="00765931">
        <w:t xml:space="preserve"> </w:t>
      </w:r>
      <w:r>
        <w:t>compromettre l’exercice de la mission d’intérêt général confiée à l’AFNOR. Le DIN peut faire valoir son droit</w:t>
      </w:r>
      <w:r w:rsidR="00765931">
        <w:t xml:space="preserve"> </w:t>
      </w:r>
      <w:r>
        <w:t xml:space="preserve">d’opposition en cas de maintien en l’état de ladite décision concernée du comité. </w:t>
      </w:r>
    </w:p>
    <w:p w:rsidR="00765931" w:rsidRDefault="00765931" w:rsidP="00F338B4">
      <w:pPr>
        <w:pBdr>
          <w:left w:val="single" w:sz="4" w:space="4" w:color="auto"/>
        </w:pBdr>
        <w:jc w:val="both"/>
      </w:pPr>
    </w:p>
    <w:p w:rsidR="00BD0C44" w:rsidRDefault="00B04593" w:rsidP="00F338B4">
      <w:pPr>
        <w:pBdr>
          <w:left w:val="single" w:sz="4" w:space="4" w:color="auto"/>
        </w:pBdr>
        <w:jc w:val="both"/>
      </w:pPr>
      <w:r>
        <w:t>Le décret modifie le</w:t>
      </w:r>
      <w:r w:rsidR="00BD0C44">
        <w:t xml:space="preserve"> </w:t>
      </w:r>
      <w:r>
        <w:t>positionnement du comité d’audit et d’évaluation qui est désormais placé auprès du DIN au lieu de l’AFNOR. Il est</w:t>
      </w:r>
      <w:r w:rsidR="00BD0C44">
        <w:t xml:space="preserve"> </w:t>
      </w:r>
      <w:r>
        <w:t>prévu qu’un arrêté du ministre chargé de l’industrie détermine la composition et les modalités d’organisation et de</w:t>
      </w:r>
      <w:r w:rsidR="00BD0C44">
        <w:t xml:space="preserve"> </w:t>
      </w:r>
      <w:r>
        <w:t xml:space="preserve">fonctionnement du comité d’audit et d’évaluation. </w:t>
      </w:r>
    </w:p>
    <w:p w:rsidR="00BD0C44" w:rsidRDefault="00BD0C44" w:rsidP="00F338B4">
      <w:pPr>
        <w:pBdr>
          <w:left w:val="single" w:sz="4" w:space="4" w:color="auto"/>
        </w:pBdr>
        <w:jc w:val="both"/>
      </w:pPr>
    </w:p>
    <w:p w:rsidR="00BD0C44" w:rsidRDefault="00B04593" w:rsidP="00F338B4">
      <w:pPr>
        <w:pBdr>
          <w:left w:val="single" w:sz="4" w:space="4" w:color="auto"/>
        </w:pBdr>
        <w:jc w:val="both"/>
      </w:pPr>
      <w:r>
        <w:t>Le décret indique que l’AFNOR est soumise au contrôle</w:t>
      </w:r>
      <w:r w:rsidR="00BD0C44">
        <w:t xml:space="preserve"> </w:t>
      </w:r>
      <w:r>
        <w:t xml:space="preserve">économique et financier de l’Etat en corrigeant une erreur de renvoi du décret applicable. </w:t>
      </w:r>
    </w:p>
    <w:p w:rsidR="00BD0C44" w:rsidRDefault="00BD0C44" w:rsidP="00F338B4">
      <w:pPr>
        <w:pBdr>
          <w:left w:val="single" w:sz="4" w:space="4" w:color="auto"/>
        </w:pBdr>
        <w:jc w:val="both"/>
      </w:pPr>
    </w:p>
    <w:p w:rsidR="00BD0C44" w:rsidRDefault="00B04593" w:rsidP="00F338B4">
      <w:pPr>
        <w:pBdr>
          <w:left w:val="single" w:sz="4" w:space="4" w:color="auto"/>
        </w:pBdr>
        <w:jc w:val="both"/>
      </w:pPr>
      <w:r>
        <w:t>Le décret allonge de</w:t>
      </w:r>
      <w:r w:rsidR="00BD0C44">
        <w:t xml:space="preserve"> </w:t>
      </w:r>
      <w:r>
        <w:t>quatre à cinq ans la durée maximum de l’agrément des bureaux de normalisation sectoriels. Il précise les principes</w:t>
      </w:r>
      <w:r w:rsidR="00BD0C44">
        <w:t xml:space="preserve"> </w:t>
      </w:r>
      <w:r>
        <w:t>et exigences essentiels auxquels les bureaux de normalisation sont tenus de se conformer dans l’exercice de leur</w:t>
      </w:r>
      <w:r w:rsidR="00BD0C44">
        <w:t xml:space="preserve"> </w:t>
      </w:r>
      <w:r>
        <w:t>activité. Il instaure un dispositif en plusieurs étapes pour fixer les conditions de rémunération par l’AFNOR des</w:t>
      </w:r>
      <w:r w:rsidR="00BD0C44">
        <w:t xml:space="preserve"> </w:t>
      </w:r>
      <w:r>
        <w:t>bureaux de normalisation sectoriels. Au terme de ces étapes, faute d’accord entre les parties, le DIN est autorisé à</w:t>
      </w:r>
      <w:r w:rsidR="00BD0C44">
        <w:t xml:space="preserve"> </w:t>
      </w:r>
      <w:r>
        <w:t>fixer les conditions de la rémunération versée par l’AFNOR aux bureaux de normalisation sectoriels pour l’année</w:t>
      </w:r>
      <w:r w:rsidR="00BD0C44">
        <w:t xml:space="preserve"> </w:t>
      </w:r>
      <w:r>
        <w:t xml:space="preserve">suivante. </w:t>
      </w:r>
    </w:p>
    <w:p w:rsidR="00BD0C44" w:rsidRDefault="00BD0C44" w:rsidP="00F338B4">
      <w:pPr>
        <w:pBdr>
          <w:left w:val="single" w:sz="4" w:space="4" w:color="auto"/>
        </w:pBdr>
        <w:jc w:val="both"/>
      </w:pPr>
    </w:p>
    <w:p w:rsidR="00B04593" w:rsidRDefault="00B04593" w:rsidP="00F338B4">
      <w:pPr>
        <w:pBdr>
          <w:left w:val="single" w:sz="4" w:space="4" w:color="auto"/>
        </w:pBdr>
        <w:jc w:val="both"/>
      </w:pPr>
      <w:r>
        <w:t>Le décret modifie le périmètre des PME dispensées de contribution financière pour participer aux</w:t>
      </w:r>
      <w:r w:rsidR="00BD0C44">
        <w:t xml:space="preserve"> </w:t>
      </w:r>
      <w:r>
        <w:t>travaux de normalisation. Seules les micro-entreprises au sens de l’article 3 du décret n</w:t>
      </w:r>
      <w:r w:rsidR="00BD0C44">
        <w:t>°</w:t>
      </w:r>
      <w:r>
        <w:t>2008-1354 du</w:t>
      </w:r>
    </w:p>
    <w:p w:rsidR="00BD0C44" w:rsidRDefault="00B04593" w:rsidP="00F338B4">
      <w:pPr>
        <w:pBdr>
          <w:left w:val="single" w:sz="4" w:space="4" w:color="auto"/>
        </w:pBdr>
        <w:jc w:val="both"/>
      </w:pPr>
      <w:r>
        <w:t>18 décembre 2008 relatif aux critères permettant de déterminer la catégorie d’appartenance d’une entreprise pour</w:t>
      </w:r>
      <w:r w:rsidR="00BD0C44">
        <w:t xml:space="preserve"> </w:t>
      </w:r>
      <w:r>
        <w:t>les besoins de l’analyse statistique et économique, qui ne dépendent pas à plus de 25 % d’un groupe de plus</w:t>
      </w:r>
      <w:r w:rsidR="00BD0C44">
        <w:t xml:space="preserve"> </w:t>
      </w:r>
      <w:r>
        <w:t>de 250 salariés et qui exercent dans le secteur faisant l’objet des travaux de normalisation concernés, sont</w:t>
      </w:r>
      <w:r w:rsidR="00BD0C44">
        <w:t xml:space="preserve"> </w:t>
      </w:r>
      <w:r>
        <w:t>dispensées de contribution financière. Les autres entreprises de moins de 250 salariés, qui ne dépendent pas à plus</w:t>
      </w:r>
      <w:r w:rsidR="00BD0C44">
        <w:t xml:space="preserve"> </w:t>
      </w:r>
      <w:r>
        <w:t>de 25 % d’un groupe de plus de 250 salariés, ayant un chiffre d’affaires annuel inférieur à 50 millions d’euros,</w:t>
      </w:r>
      <w:r w:rsidR="00BD0C44">
        <w:t xml:space="preserve"> </w:t>
      </w:r>
      <w:r>
        <w:t xml:space="preserve">bénéficient de tarifs préférentiels pour participer aux travaux de normalisation. </w:t>
      </w:r>
    </w:p>
    <w:p w:rsidR="00BD0C44" w:rsidRDefault="00BD0C44" w:rsidP="00F338B4">
      <w:pPr>
        <w:pBdr>
          <w:left w:val="single" w:sz="4" w:space="4" w:color="auto"/>
        </w:pBdr>
        <w:jc w:val="both"/>
      </w:pPr>
    </w:p>
    <w:p w:rsidR="00B04593" w:rsidRDefault="00B04593" w:rsidP="00F338B4">
      <w:pPr>
        <w:pBdr>
          <w:left w:val="single" w:sz="4" w:space="4" w:color="auto"/>
        </w:pBdr>
        <w:jc w:val="both"/>
      </w:pPr>
      <w:r>
        <w:lastRenderedPageBreak/>
        <w:t>L’AFNOR et les bureaux de</w:t>
      </w:r>
      <w:r w:rsidR="00BD0C44">
        <w:t xml:space="preserve"> </w:t>
      </w:r>
      <w:r>
        <w:t>normalisation sectoriels rendent compte chaque année à leur organe délibérant de leur politique tarifaire et de son</w:t>
      </w:r>
      <w:r w:rsidR="00BD0C44">
        <w:t xml:space="preserve"> </w:t>
      </w:r>
      <w:r>
        <w:t>impact sur la participation des entreprises dans les travaux de normalisation</w:t>
      </w:r>
      <w:r w:rsidR="00BD0C44">
        <w:t>.</w:t>
      </w:r>
    </w:p>
    <w:p w:rsidR="00B04593" w:rsidRDefault="00B04593" w:rsidP="00F338B4">
      <w:pPr>
        <w:pBdr>
          <w:left w:val="single" w:sz="4" w:space="4" w:color="auto"/>
        </w:pBdr>
        <w:jc w:val="both"/>
      </w:pPr>
    </w:p>
    <w:p w:rsidR="00D34505" w:rsidRPr="00D34505" w:rsidRDefault="00577F8E" w:rsidP="00F338B4">
      <w:pPr>
        <w:pBdr>
          <w:left w:val="single" w:sz="4" w:space="4" w:color="auto"/>
        </w:pBdr>
        <w:jc w:val="both"/>
        <w:rPr>
          <w:i/>
        </w:rPr>
      </w:pPr>
      <w:hyperlink r:id="rId21" w:history="1">
        <w:r w:rsidR="00D34505" w:rsidRPr="00D34505">
          <w:rPr>
            <w:rStyle w:val="Lienhypertexte"/>
            <w:b/>
            <w:i/>
            <w:color w:val="auto"/>
          </w:rPr>
          <w:t xml:space="preserve">Décret n° 2026-93 du 13 février 2026 </w:t>
        </w:r>
        <w:r w:rsidR="00D34505" w:rsidRPr="00D34505">
          <w:rPr>
            <w:rStyle w:val="Lienhypertexte"/>
            <w:i/>
            <w:color w:val="auto"/>
          </w:rPr>
          <w:t>portant diverses dispositions d'adaptation du système français de normalisation.</w:t>
        </w:r>
      </w:hyperlink>
    </w:p>
    <w:p w:rsidR="00D34505" w:rsidRDefault="00D34505" w:rsidP="00D34505">
      <w:pPr>
        <w:jc w:val="both"/>
      </w:pPr>
    </w:p>
    <w:p w:rsidR="00D34505" w:rsidRDefault="00D34505" w:rsidP="00D34505">
      <w:pPr>
        <w:jc w:val="both"/>
      </w:pPr>
    </w:p>
    <w:p w:rsidR="00682382" w:rsidRDefault="00682382" w:rsidP="00D34505">
      <w:pPr>
        <w:jc w:val="both"/>
      </w:pPr>
    </w:p>
    <w:p w:rsidR="00347591" w:rsidRDefault="00347591" w:rsidP="00347591">
      <w:pPr>
        <w:pStyle w:val="Titre1"/>
      </w:pPr>
      <w:bookmarkStart w:id="9" w:name="_Toc223439939"/>
      <w:r>
        <w:t>Performance énergétique de</w:t>
      </w:r>
      <w:r w:rsidR="007F3503">
        <w:t xml:space="preserve"> l’habitat</w:t>
      </w:r>
      <w:bookmarkEnd w:id="9"/>
    </w:p>
    <w:p w:rsidR="00347591" w:rsidRDefault="00347591" w:rsidP="00347591">
      <w:pPr>
        <w:jc w:val="both"/>
      </w:pPr>
    </w:p>
    <w:p w:rsidR="007F3503" w:rsidRDefault="007F3503" w:rsidP="00AF4671">
      <w:pPr>
        <w:pBdr>
          <w:left w:val="single" w:sz="4" w:space="4" w:color="auto"/>
        </w:pBdr>
        <w:jc w:val="both"/>
      </w:pPr>
      <w:r>
        <w:sym w:font="Wingdings" w:char="F0E8"/>
      </w:r>
      <w:r>
        <w:t xml:space="preserve"> </w:t>
      </w:r>
      <w:r w:rsidR="00AF4671" w:rsidRPr="00AF4671">
        <w:rPr>
          <w:b/>
        </w:rPr>
        <w:t>Agréments mentionnés à l’article R. 232-5 du code de l’énergie</w:t>
      </w:r>
    </w:p>
    <w:p w:rsidR="007F3503" w:rsidRDefault="007F3503" w:rsidP="00AF4671">
      <w:pPr>
        <w:pBdr>
          <w:left w:val="single" w:sz="4" w:space="4" w:color="auto"/>
        </w:pBdr>
        <w:jc w:val="both"/>
      </w:pPr>
    </w:p>
    <w:p w:rsidR="008158AA" w:rsidRDefault="008158AA" w:rsidP="00AF4671">
      <w:pPr>
        <w:pBdr>
          <w:left w:val="single" w:sz="4" w:space="4" w:color="auto"/>
        </w:pBdr>
        <w:jc w:val="both"/>
      </w:pPr>
      <w:r>
        <w:t xml:space="preserve">Le texte actualise l’arrêté du 21 décembre 2022 relatif à la mission d’accompagnement du service public de la performance énergétique de l’habitat à la suite de la parution du décret n°2025-1107 du 21 novembre 2025. </w:t>
      </w:r>
    </w:p>
    <w:p w:rsidR="008158AA" w:rsidRDefault="008158AA" w:rsidP="00AF4671">
      <w:pPr>
        <w:pBdr>
          <w:left w:val="single" w:sz="4" w:space="4" w:color="auto"/>
        </w:pBdr>
        <w:jc w:val="both"/>
      </w:pPr>
    </w:p>
    <w:p w:rsidR="008158AA" w:rsidRDefault="008158AA" w:rsidP="00AF4671">
      <w:pPr>
        <w:pBdr>
          <w:left w:val="single" w:sz="4" w:space="4" w:color="auto"/>
        </w:pBdr>
        <w:jc w:val="both"/>
      </w:pPr>
      <w:r>
        <w:t>Il précise les modalités de territorialisation des agréments mentionnés à l’article R. 232-5 du code de l’énergie et renforce les exigences pour l’obtention desdits agréments ainsi que les possibilités de contrôle de l’Agence nationale de l’habitat sur les opérateurs agréés.</w:t>
      </w:r>
    </w:p>
    <w:p w:rsidR="008158AA" w:rsidRDefault="008158AA" w:rsidP="00AF4671">
      <w:pPr>
        <w:pBdr>
          <w:left w:val="single" w:sz="4" w:space="4" w:color="auto"/>
        </w:pBdr>
        <w:jc w:val="both"/>
      </w:pPr>
    </w:p>
    <w:p w:rsidR="007F3503" w:rsidRPr="00765096" w:rsidRDefault="00577F8E" w:rsidP="00AF4671">
      <w:pPr>
        <w:pBdr>
          <w:left w:val="single" w:sz="4" w:space="4" w:color="auto"/>
        </w:pBdr>
        <w:jc w:val="both"/>
        <w:rPr>
          <w:i/>
        </w:rPr>
      </w:pPr>
      <w:hyperlink r:id="rId22" w:history="1">
        <w:r w:rsidR="007F3503" w:rsidRPr="00765096">
          <w:rPr>
            <w:rStyle w:val="Lienhypertexte"/>
            <w:b/>
            <w:i/>
            <w:color w:val="auto"/>
          </w:rPr>
          <w:t>Arrêté du 3 février 2026</w:t>
        </w:r>
        <w:r w:rsidR="007F3503" w:rsidRPr="00765096">
          <w:rPr>
            <w:rStyle w:val="Lienhypertexte"/>
            <w:i/>
            <w:color w:val="auto"/>
          </w:rPr>
          <w:t xml:space="preserve"> modifiant l'arrêté du 21 décembre 2022 relatif à la mission d'accompagnement du service public de la performance énergétique de l'habitat.</w:t>
        </w:r>
      </w:hyperlink>
    </w:p>
    <w:p w:rsidR="00D3085B" w:rsidRDefault="00D3085B" w:rsidP="007F3503">
      <w:pPr>
        <w:jc w:val="both"/>
      </w:pPr>
    </w:p>
    <w:p w:rsidR="00682382" w:rsidRDefault="00682382" w:rsidP="007F3503">
      <w:pPr>
        <w:jc w:val="both"/>
      </w:pPr>
    </w:p>
    <w:p w:rsidR="005251CD" w:rsidRDefault="005251CD" w:rsidP="007F3503">
      <w:pPr>
        <w:jc w:val="both"/>
      </w:pPr>
    </w:p>
    <w:p w:rsidR="00C826CF" w:rsidRDefault="00C826CF" w:rsidP="00C826CF">
      <w:pPr>
        <w:pStyle w:val="Titre1"/>
      </w:pPr>
      <w:bookmarkStart w:id="10" w:name="_Toc223439940"/>
      <w:r>
        <w:t>Programmation pluriannuelle de l’énergie</w:t>
      </w:r>
      <w:bookmarkEnd w:id="10"/>
    </w:p>
    <w:p w:rsidR="00AC29C3" w:rsidRDefault="00AC29C3" w:rsidP="00AC29C3"/>
    <w:p w:rsidR="00A87FDC" w:rsidRPr="00A46C58" w:rsidRDefault="00A87FDC" w:rsidP="00A46C58">
      <w:pPr>
        <w:pBdr>
          <w:left w:val="single" w:sz="4" w:space="4" w:color="auto"/>
        </w:pBdr>
        <w:rPr>
          <w:b/>
        </w:rPr>
      </w:pPr>
      <w:r w:rsidRPr="00A46C58">
        <w:rPr>
          <w:b/>
        </w:rPr>
        <w:sym w:font="Wingdings" w:char="F0E8"/>
      </w:r>
      <w:r w:rsidRPr="00A46C58">
        <w:rPr>
          <w:b/>
        </w:rPr>
        <w:t xml:space="preserve"> </w:t>
      </w:r>
      <w:r w:rsidR="00A46C58" w:rsidRPr="00A46C58">
        <w:rPr>
          <w:b/>
        </w:rPr>
        <w:t xml:space="preserve">PPE 3 </w:t>
      </w:r>
    </w:p>
    <w:p w:rsidR="00A87FDC" w:rsidRDefault="00A87FDC" w:rsidP="00A46C58">
      <w:pPr>
        <w:pBdr>
          <w:left w:val="single" w:sz="4" w:space="4" w:color="auto"/>
        </w:pBdr>
      </w:pPr>
    </w:p>
    <w:p w:rsidR="00A87FDC" w:rsidRDefault="00A87FDC" w:rsidP="00A46C58">
      <w:pPr>
        <w:pBdr>
          <w:left w:val="single" w:sz="4" w:space="4" w:color="auto"/>
        </w:pBdr>
        <w:jc w:val="both"/>
      </w:pPr>
      <w:r>
        <w:t>Le décret fixe la programmation pluriannuelle de l’énergie, qui définit les priorités d’action des pouvoirs publics pour la gestion des formes d’énergie sur le territoire hexagonal continental sur la période 2026-2035 afin d’atteindre les objectifs définis aux articles L. 100-1, L. 100-2 et L. 100-4 du code de l’énergie.</w:t>
      </w:r>
    </w:p>
    <w:p w:rsidR="00773712" w:rsidRDefault="00773712" w:rsidP="00A46C58">
      <w:pPr>
        <w:pBdr>
          <w:left w:val="single" w:sz="4" w:space="4" w:color="auto"/>
        </w:pBdr>
        <w:jc w:val="both"/>
      </w:pPr>
    </w:p>
    <w:p w:rsidR="00773712" w:rsidRDefault="00682382" w:rsidP="00682382">
      <w:pPr>
        <w:pBdr>
          <w:left w:val="single" w:sz="4" w:space="4" w:color="auto"/>
        </w:pBdr>
        <w:rPr>
          <w:rStyle w:val="Lienhypertexte"/>
        </w:rPr>
      </w:pPr>
      <w:r>
        <w:t xml:space="preserve">Lien de téléchargement de la PPE3 : </w:t>
      </w:r>
      <w:hyperlink r:id="rId23" w:history="1">
        <w:r w:rsidR="00773712" w:rsidRPr="008B5757">
          <w:rPr>
            <w:rStyle w:val="Lienhypertexte"/>
          </w:rPr>
          <w:t>https://www.economie.gouv.fr/files/files/2026/ppe3.pdf?v=1772447721</w:t>
        </w:r>
      </w:hyperlink>
    </w:p>
    <w:p w:rsidR="00682382" w:rsidRDefault="00682382" w:rsidP="00A46C58">
      <w:pPr>
        <w:pBdr>
          <w:left w:val="single" w:sz="4" w:space="4" w:color="auto"/>
        </w:pBdr>
        <w:jc w:val="both"/>
      </w:pPr>
    </w:p>
    <w:p w:rsidR="00AC29C3" w:rsidRPr="00A87FDC" w:rsidRDefault="00577F8E" w:rsidP="00A46C58">
      <w:pPr>
        <w:pStyle w:val="Textebrut"/>
        <w:pBdr>
          <w:left w:val="single" w:sz="4" w:space="4" w:color="auto"/>
        </w:pBdr>
        <w:rPr>
          <w:i/>
        </w:rPr>
      </w:pPr>
      <w:hyperlink r:id="rId24" w:history="1">
        <w:r w:rsidR="00AC29C3" w:rsidRPr="00A87FDC">
          <w:rPr>
            <w:rStyle w:val="Lienhypertexte"/>
            <w:b/>
            <w:i/>
            <w:color w:val="auto"/>
          </w:rPr>
          <w:t>Décret n° 2026-76 du 12 février 2026</w:t>
        </w:r>
        <w:r w:rsidR="00AC29C3" w:rsidRPr="00A87FDC">
          <w:rPr>
            <w:rStyle w:val="Lienhypertexte"/>
            <w:i/>
            <w:color w:val="auto"/>
          </w:rPr>
          <w:t xml:space="preserve"> relatif à la programmation pluriannuelle de l'énergie.</w:t>
        </w:r>
      </w:hyperlink>
    </w:p>
    <w:p w:rsidR="00AC29C3" w:rsidRDefault="00AC29C3" w:rsidP="00AC29C3">
      <w:pPr>
        <w:pStyle w:val="Textebrut"/>
      </w:pPr>
    </w:p>
    <w:p w:rsidR="00AC29C3" w:rsidRDefault="00AC29C3" w:rsidP="00AC29C3"/>
    <w:p w:rsidR="00AC29C3" w:rsidRPr="00AC29C3" w:rsidRDefault="00AC29C3" w:rsidP="00AC29C3"/>
    <w:p w:rsidR="00347591" w:rsidRDefault="00347591" w:rsidP="00347591">
      <w:pPr>
        <w:pStyle w:val="Titre1"/>
      </w:pPr>
      <w:bookmarkStart w:id="11" w:name="_Toc223439941"/>
      <w:r>
        <w:t>Transpor</w:t>
      </w:r>
      <w:r w:rsidR="001E7400">
        <w:t>t</w:t>
      </w:r>
      <w:bookmarkEnd w:id="11"/>
    </w:p>
    <w:p w:rsidR="00347591" w:rsidRDefault="00347591" w:rsidP="00347591">
      <w:pPr>
        <w:jc w:val="both"/>
      </w:pPr>
    </w:p>
    <w:p w:rsidR="00D6651C" w:rsidRPr="00B40B87" w:rsidRDefault="00D6651C" w:rsidP="00B40B87">
      <w:pPr>
        <w:pBdr>
          <w:left w:val="single" w:sz="4" w:space="4" w:color="auto"/>
        </w:pBdr>
        <w:jc w:val="both"/>
        <w:rPr>
          <w:b/>
        </w:rPr>
      </w:pPr>
      <w:r w:rsidRPr="00B40B87">
        <w:rPr>
          <w:b/>
        </w:rPr>
        <w:sym w:font="Wingdings" w:char="F0E8"/>
      </w:r>
      <w:r w:rsidRPr="00B40B87">
        <w:rPr>
          <w:b/>
        </w:rPr>
        <w:t xml:space="preserve"> Liste des voitures particulières électriques ayant atteint le score environnemental minimal</w:t>
      </w:r>
    </w:p>
    <w:p w:rsidR="00D6651C" w:rsidRDefault="00D6651C" w:rsidP="00B40B87">
      <w:pPr>
        <w:pBdr>
          <w:left w:val="single" w:sz="4" w:space="4" w:color="auto"/>
        </w:pBdr>
        <w:jc w:val="both"/>
      </w:pPr>
    </w:p>
    <w:p w:rsidR="001E7400" w:rsidRPr="00B40B87" w:rsidRDefault="00577F8E" w:rsidP="00B40B87">
      <w:pPr>
        <w:pStyle w:val="Textebrut"/>
        <w:pBdr>
          <w:left w:val="single" w:sz="4" w:space="4" w:color="auto"/>
        </w:pBdr>
        <w:jc w:val="both"/>
        <w:rPr>
          <w:i/>
        </w:rPr>
      </w:pPr>
      <w:hyperlink r:id="rId25" w:history="1">
        <w:r w:rsidR="001E7400" w:rsidRPr="00B40B87">
          <w:rPr>
            <w:rStyle w:val="Lienhypertexte"/>
            <w:b/>
            <w:i/>
            <w:color w:val="auto"/>
          </w:rPr>
          <w:t>Arrêté du 18 février 2026</w:t>
        </w:r>
        <w:r w:rsidR="001E7400" w:rsidRPr="00B40B87">
          <w:rPr>
            <w:rStyle w:val="Lienhypertexte"/>
            <w:i/>
            <w:color w:val="auto"/>
          </w:rPr>
          <w:t xml:space="preserve"> modifiant l'arrêté du 14 décembre 2023 fixant la liste des versions de v</w:t>
        </w:r>
        <w:bookmarkStart w:id="12" w:name="_Hlk223361504"/>
        <w:r w:rsidR="001E7400" w:rsidRPr="00B40B87">
          <w:rPr>
            <w:rStyle w:val="Lienhypertexte"/>
            <w:i/>
            <w:color w:val="auto"/>
          </w:rPr>
          <w:t>oitures particulières électriques ayant atteint le score environnemental minimal</w:t>
        </w:r>
        <w:bookmarkEnd w:id="12"/>
        <w:r w:rsidR="001E7400" w:rsidRPr="00B40B87">
          <w:rPr>
            <w:rStyle w:val="Lienhypertexte"/>
            <w:i/>
            <w:color w:val="auto"/>
          </w:rPr>
          <w:t xml:space="preserve"> conditionnant l'éligibilité à certaines aides à l'achat ou à la location de véhicules peu polluants.</w:t>
        </w:r>
      </w:hyperlink>
    </w:p>
    <w:p w:rsidR="009C4668" w:rsidRDefault="009C4668" w:rsidP="00736A33">
      <w:pPr>
        <w:pStyle w:val="Textebrut"/>
      </w:pPr>
    </w:p>
    <w:p w:rsidR="00370EF4" w:rsidRDefault="00370EF4" w:rsidP="00736A33">
      <w:pPr>
        <w:pStyle w:val="Textebrut"/>
      </w:pPr>
    </w:p>
    <w:p w:rsidR="00E36C0D" w:rsidRDefault="00E36C0D" w:rsidP="00E36C0D">
      <w:pPr>
        <w:pStyle w:val="Textebrut"/>
      </w:pPr>
    </w:p>
    <w:sectPr w:rsidR="00E36C0D">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F8E" w:rsidRDefault="00577F8E" w:rsidP="00D92460">
      <w:r>
        <w:separator/>
      </w:r>
    </w:p>
  </w:endnote>
  <w:endnote w:type="continuationSeparator" w:id="0">
    <w:p w:rsidR="00577F8E" w:rsidRDefault="00577F8E" w:rsidP="00D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91846"/>
      <w:docPartObj>
        <w:docPartGallery w:val="Page Numbers (Bottom of Page)"/>
        <w:docPartUnique/>
      </w:docPartObj>
    </w:sdtPr>
    <w:sdtEndPr/>
    <w:sdtContent>
      <w:p w:rsidR="00D92460" w:rsidRDefault="00D92460">
        <w:pPr>
          <w:pStyle w:val="Pieddepage"/>
          <w:jc w:val="right"/>
        </w:pPr>
        <w:r>
          <w:fldChar w:fldCharType="begin"/>
        </w:r>
        <w:r>
          <w:instrText>PAGE   \* MERGEFORMAT</w:instrText>
        </w:r>
        <w:r>
          <w:fldChar w:fldCharType="separate"/>
        </w:r>
        <w:r>
          <w:t>2</w:t>
        </w:r>
        <w:r>
          <w:fldChar w:fldCharType="end"/>
        </w:r>
      </w:p>
    </w:sdtContent>
  </w:sdt>
  <w:p w:rsidR="00D92460" w:rsidRDefault="00D924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F8E" w:rsidRDefault="00577F8E" w:rsidP="00D92460">
      <w:r>
        <w:separator/>
      </w:r>
    </w:p>
  </w:footnote>
  <w:footnote w:type="continuationSeparator" w:id="0">
    <w:p w:rsidR="00577F8E" w:rsidRDefault="00577F8E" w:rsidP="00D9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3662"/>
    <w:multiLevelType w:val="hybridMultilevel"/>
    <w:tmpl w:val="9B8A9D78"/>
    <w:lvl w:ilvl="0" w:tplc="36887A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7D56FE"/>
    <w:multiLevelType w:val="hybridMultilevel"/>
    <w:tmpl w:val="23E4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F91F3D"/>
    <w:multiLevelType w:val="hybridMultilevel"/>
    <w:tmpl w:val="4662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AF64D2"/>
    <w:multiLevelType w:val="hybridMultilevel"/>
    <w:tmpl w:val="4F12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683F19"/>
    <w:multiLevelType w:val="hybridMultilevel"/>
    <w:tmpl w:val="C1C6402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4"/>
    <w:rsid w:val="000114B8"/>
    <w:rsid w:val="00030DDB"/>
    <w:rsid w:val="0003562B"/>
    <w:rsid w:val="00035BCB"/>
    <w:rsid w:val="00044620"/>
    <w:rsid w:val="00045C0D"/>
    <w:rsid w:val="000508E4"/>
    <w:rsid w:val="0006248D"/>
    <w:rsid w:val="0008225C"/>
    <w:rsid w:val="000B0685"/>
    <w:rsid w:val="000D5928"/>
    <w:rsid w:val="000E3A76"/>
    <w:rsid w:val="000E6286"/>
    <w:rsid w:val="0010578C"/>
    <w:rsid w:val="00113B26"/>
    <w:rsid w:val="00114B69"/>
    <w:rsid w:val="00123886"/>
    <w:rsid w:val="00124168"/>
    <w:rsid w:val="00137481"/>
    <w:rsid w:val="0015167C"/>
    <w:rsid w:val="001560E5"/>
    <w:rsid w:val="0018306E"/>
    <w:rsid w:val="001A3B44"/>
    <w:rsid w:val="001E2E01"/>
    <w:rsid w:val="001E7400"/>
    <w:rsid w:val="002125A7"/>
    <w:rsid w:val="00225435"/>
    <w:rsid w:val="00260921"/>
    <w:rsid w:val="00277C30"/>
    <w:rsid w:val="00291138"/>
    <w:rsid w:val="002959F3"/>
    <w:rsid w:val="00297934"/>
    <w:rsid w:val="002B2D22"/>
    <w:rsid w:val="002D13E3"/>
    <w:rsid w:val="002E1B81"/>
    <w:rsid w:val="002E326B"/>
    <w:rsid w:val="002E5509"/>
    <w:rsid w:val="002F3015"/>
    <w:rsid w:val="00301420"/>
    <w:rsid w:val="00310F77"/>
    <w:rsid w:val="0031157D"/>
    <w:rsid w:val="0032730B"/>
    <w:rsid w:val="0033129A"/>
    <w:rsid w:val="0034400F"/>
    <w:rsid w:val="0034625F"/>
    <w:rsid w:val="00347591"/>
    <w:rsid w:val="0035131B"/>
    <w:rsid w:val="0035281E"/>
    <w:rsid w:val="00370EF4"/>
    <w:rsid w:val="0039532D"/>
    <w:rsid w:val="003B2978"/>
    <w:rsid w:val="003B61AA"/>
    <w:rsid w:val="003D19D4"/>
    <w:rsid w:val="003F5872"/>
    <w:rsid w:val="00404171"/>
    <w:rsid w:val="00453E7A"/>
    <w:rsid w:val="00455BD6"/>
    <w:rsid w:val="00457DE2"/>
    <w:rsid w:val="00467612"/>
    <w:rsid w:val="00481309"/>
    <w:rsid w:val="004A2CCC"/>
    <w:rsid w:val="004C269B"/>
    <w:rsid w:val="004D29A0"/>
    <w:rsid w:val="004D5A75"/>
    <w:rsid w:val="004E21B0"/>
    <w:rsid w:val="004E2B38"/>
    <w:rsid w:val="004F451F"/>
    <w:rsid w:val="005251CD"/>
    <w:rsid w:val="00541617"/>
    <w:rsid w:val="005655EE"/>
    <w:rsid w:val="005727C1"/>
    <w:rsid w:val="00577F8E"/>
    <w:rsid w:val="00595D52"/>
    <w:rsid w:val="00597FBD"/>
    <w:rsid w:val="005C2FCC"/>
    <w:rsid w:val="005E7ED0"/>
    <w:rsid w:val="006035EB"/>
    <w:rsid w:val="00615302"/>
    <w:rsid w:val="00642876"/>
    <w:rsid w:val="006442C3"/>
    <w:rsid w:val="00644658"/>
    <w:rsid w:val="0065702D"/>
    <w:rsid w:val="0067563F"/>
    <w:rsid w:val="00682382"/>
    <w:rsid w:val="006A1C2E"/>
    <w:rsid w:val="006B1036"/>
    <w:rsid w:val="006B497E"/>
    <w:rsid w:val="006C13AD"/>
    <w:rsid w:val="006C28FC"/>
    <w:rsid w:val="006C65A9"/>
    <w:rsid w:val="006E1B15"/>
    <w:rsid w:val="00717478"/>
    <w:rsid w:val="00717692"/>
    <w:rsid w:val="00723262"/>
    <w:rsid w:val="00731C35"/>
    <w:rsid w:val="00732C94"/>
    <w:rsid w:val="00734752"/>
    <w:rsid w:val="00736A33"/>
    <w:rsid w:val="00765096"/>
    <w:rsid w:val="00765931"/>
    <w:rsid w:val="00773712"/>
    <w:rsid w:val="00776855"/>
    <w:rsid w:val="00791050"/>
    <w:rsid w:val="00797581"/>
    <w:rsid w:val="007A5A54"/>
    <w:rsid w:val="007A6590"/>
    <w:rsid w:val="007B3587"/>
    <w:rsid w:val="007B45FA"/>
    <w:rsid w:val="007C563A"/>
    <w:rsid w:val="007D3F89"/>
    <w:rsid w:val="007E695A"/>
    <w:rsid w:val="007E7380"/>
    <w:rsid w:val="007F3503"/>
    <w:rsid w:val="008044BB"/>
    <w:rsid w:val="008158AA"/>
    <w:rsid w:val="0082569B"/>
    <w:rsid w:val="008300FA"/>
    <w:rsid w:val="00832C75"/>
    <w:rsid w:val="00845A70"/>
    <w:rsid w:val="00847C24"/>
    <w:rsid w:val="00850692"/>
    <w:rsid w:val="00864F7D"/>
    <w:rsid w:val="00866343"/>
    <w:rsid w:val="00873E12"/>
    <w:rsid w:val="008A0D83"/>
    <w:rsid w:val="008A2145"/>
    <w:rsid w:val="008B77B8"/>
    <w:rsid w:val="008C1373"/>
    <w:rsid w:val="008C67D9"/>
    <w:rsid w:val="008D134C"/>
    <w:rsid w:val="008F2EFB"/>
    <w:rsid w:val="008F78E8"/>
    <w:rsid w:val="00906028"/>
    <w:rsid w:val="00917CCA"/>
    <w:rsid w:val="00931773"/>
    <w:rsid w:val="00961C26"/>
    <w:rsid w:val="00964BD0"/>
    <w:rsid w:val="00975620"/>
    <w:rsid w:val="0098358D"/>
    <w:rsid w:val="009C28BC"/>
    <w:rsid w:val="009C4668"/>
    <w:rsid w:val="00A05488"/>
    <w:rsid w:val="00A27679"/>
    <w:rsid w:val="00A34FB9"/>
    <w:rsid w:val="00A46C58"/>
    <w:rsid w:val="00A670E8"/>
    <w:rsid w:val="00A67E1F"/>
    <w:rsid w:val="00A71AE3"/>
    <w:rsid w:val="00A726C4"/>
    <w:rsid w:val="00A84207"/>
    <w:rsid w:val="00A87FDC"/>
    <w:rsid w:val="00A948A6"/>
    <w:rsid w:val="00AA057A"/>
    <w:rsid w:val="00AA5B21"/>
    <w:rsid w:val="00AA6161"/>
    <w:rsid w:val="00AA77E4"/>
    <w:rsid w:val="00AB39E8"/>
    <w:rsid w:val="00AB6FA7"/>
    <w:rsid w:val="00AC29C3"/>
    <w:rsid w:val="00AF4671"/>
    <w:rsid w:val="00B02917"/>
    <w:rsid w:val="00B04593"/>
    <w:rsid w:val="00B11543"/>
    <w:rsid w:val="00B27864"/>
    <w:rsid w:val="00B40B87"/>
    <w:rsid w:val="00B519A5"/>
    <w:rsid w:val="00B91B37"/>
    <w:rsid w:val="00BD0C44"/>
    <w:rsid w:val="00C010F4"/>
    <w:rsid w:val="00C179C1"/>
    <w:rsid w:val="00C22661"/>
    <w:rsid w:val="00C437B0"/>
    <w:rsid w:val="00C44074"/>
    <w:rsid w:val="00C4776D"/>
    <w:rsid w:val="00C826CF"/>
    <w:rsid w:val="00C96CAE"/>
    <w:rsid w:val="00CC1744"/>
    <w:rsid w:val="00CC49D3"/>
    <w:rsid w:val="00CF70B7"/>
    <w:rsid w:val="00D00482"/>
    <w:rsid w:val="00D11A03"/>
    <w:rsid w:val="00D3085B"/>
    <w:rsid w:val="00D30903"/>
    <w:rsid w:val="00D34505"/>
    <w:rsid w:val="00D46C0D"/>
    <w:rsid w:val="00D6651C"/>
    <w:rsid w:val="00D75952"/>
    <w:rsid w:val="00D8438E"/>
    <w:rsid w:val="00D86CB3"/>
    <w:rsid w:val="00D92460"/>
    <w:rsid w:val="00DA337D"/>
    <w:rsid w:val="00DA6A0A"/>
    <w:rsid w:val="00DB42EF"/>
    <w:rsid w:val="00DB6477"/>
    <w:rsid w:val="00DC0BB1"/>
    <w:rsid w:val="00DD1675"/>
    <w:rsid w:val="00E008B1"/>
    <w:rsid w:val="00E1393A"/>
    <w:rsid w:val="00E2162E"/>
    <w:rsid w:val="00E35B11"/>
    <w:rsid w:val="00E36C0D"/>
    <w:rsid w:val="00E46C2E"/>
    <w:rsid w:val="00E53CE0"/>
    <w:rsid w:val="00E57F8F"/>
    <w:rsid w:val="00E65D77"/>
    <w:rsid w:val="00E71268"/>
    <w:rsid w:val="00EA2731"/>
    <w:rsid w:val="00EB3410"/>
    <w:rsid w:val="00EB5104"/>
    <w:rsid w:val="00EB61E4"/>
    <w:rsid w:val="00EC5257"/>
    <w:rsid w:val="00EE5D4B"/>
    <w:rsid w:val="00EE6DC5"/>
    <w:rsid w:val="00EF29B5"/>
    <w:rsid w:val="00F122F6"/>
    <w:rsid w:val="00F179BF"/>
    <w:rsid w:val="00F31BFA"/>
    <w:rsid w:val="00F338B4"/>
    <w:rsid w:val="00F345BE"/>
    <w:rsid w:val="00F605B2"/>
    <w:rsid w:val="00F64D9B"/>
    <w:rsid w:val="00F66832"/>
    <w:rsid w:val="00F67A6C"/>
    <w:rsid w:val="00F80383"/>
    <w:rsid w:val="00F83B87"/>
    <w:rsid w:val="00FA6690"/>
    <w:rsid w:val="00FB6EF4"/>
    <w:rsid w:val="00FB6F59"/>
    <w:rsid w:val="00FB7C1D"/>
    <w:rsid w:val="00FD7FA7"/>
    <w:rsid w:val="00FE2A7C"/>
    <w:rsid w:val="00FE44F3"/>
    <w:rsid w:val="00FE620C"/>
    <w:rsid w:val="00FF1864"/>
    <w:rsid w:val="00FF2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5AB9"/>
  <w15:chartTrackingRefBased/>
  <w15:docId w15:val="{FB111CA6-0AA6-48FD-BC14-C00BBB36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04"/>
    <w:pPr>
      <w:spacing w:after="0" w:line="240" w:lineRule="auto"/>
    </w:pPr>
  </w:style>
  <w:style w:type="paragraph" w:styleId="Titre1">
    <w:name w:val="heading 1"/>
    <w:basedOn w:val="Normal"/>
    <w:next w:val="Normal"/>
    <w:link w:val="Titre1Car"/>
    <w:uiPriority w:val="9"/>
    <w:qFormat/>
    <w:rsid w:val="007C563A"/>
    <w:pPr>
      <w:keepNext/>
      <w:keepLines/>
      <w:spacing w:before="240"/>
      <w:jc w:val="both"/>
      <w:outlineLvl w:val="0"/>
    </w:pPr>
    <w:rPr>
      <w:rFonts w:ascii="Calibri" w:eastAsiaTheme="majorEastAsia" w:hAnsi="Calibri" w:cstheme="majorBidi"/>
      <w:b/>
      <w:i/>
      <w:color w:val="0070C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5104"/>
    <w:rPr>
      <w:color w:val="0563C1" w:themeColor="hyperlink"/>
      <w:u w:val="single"/>
    </w:rPr>
  </w:style>
  <w:style w:type="paragraph" w:styleId="Textebrut">
    <w:name w:val="Plain Text"/>
    <w:basedOn w:val="Normal"/>
    <w:link w:val="TextebrutCar"/>
    <w:uiPriority w:val="99"/>
    <w:unhideWhenUsed/>
    <w:rsid w:val="00EB5104"/>
    <w:rPr>
      <w:rFonts w:ascii="Calibri" w:hAnsi="Calibri"/>
      <w:szCs w:val="21"/>
    </w:rPr>
  </w:style>
  <w:style w:type="character" w:customStyle="1" w:styleId="TextebrutCar">
    <w:name w:val="Texte brut Car"/>
    <w:basedOn w:val="Policepardfaut"/>
    <w:link w:val="Textebrut"/>
    <w:uiPriority w:val="99"/>
    <w:rsid w:val="00EB5104"/>
    <w:rPr>
      <w:rFonts w:ascii="Calibri" w:hAnsi="Calibri"/>
      <w:szCs w:val="21"/>
    </w:rPr>
  </w:style>
  <w:style w:type="character" w:styleId="Mentionnonrsolue">
    <w:name w:val="Unresolved Mention"/>
    <w:basedOn w:val="Policepardfaut"/>
    <w:uiPriority w:val="99"/>
    <w:semiHidden/>
    <w:unhideWhenUsed/>
    <w:rsid w:val="00906028"/>
    <w:rPr>
      <w:color w:val="605E5C"/>
      <w:shd w:val="clear" w:color="auto" w:fill="E1DFDD"/>
    </w:rPr>
  </w:style>
  <w:style w:type="character" w:styleId="Lienhypertextesuivivisit">
    <w:name w:val="FollowedHyperlink"/>
    <w:basedOn w:val="Policepardfaut"/>
    <w:uiPriority w:val="99"/>
    <w:semiHidden/>
    <w:unhideWhenUsed/>
    <w:rsid w:val="0006248D"/>
    <w:rPr>
      <w:color w:val="954F72" w:themeColor="followedHyperlink"/>
      <w:u w:val="single"/>
    </w:rPr>
  </w:style>
  <w:style w:type="paragraph" w:styleId="En-tte">
    <w:name w:val="header"/>
    <w:basedOn w:val="Normal"/>
    <w:link w:val="En-tteCar"/>
    <w:uiPriority w:val="99"/>
    <w:unhideWhenUsed/>
    <w:rsid w:val="00D92460"/>
    <w:pPr>
      <w:tabs>
        <w:tab w:val="center" w:pos="4536"/>
        <w:tab w:val="right" w:pos="9072"/>
      </w:tabs>
    </w:pPr>
  </w:style>
  <w:style w:type="character" w:customStyle="1" w:styleId="En-tteCar">
    <w:name w:val="En-tête Car"/>
    <w:basedOn w:val="Policepardfaut"/>
    <w:link w:val="En-tte"/>
    <w:uiPriority w:val="99"/>
    <w:rsid w:val="00D92460"/>
  </w:style>
  <w:style w:type="paragraph" w:styleId="Pieddepage">
    <w:name w:val="footer"/>
    <w:basedOn w:val="Normal"/>
    <w:link w:val="PieddepageCar"/>
    <w:uiPriority w:val="99"/>
    <w:unhideWhenUsed/>
    <w:rsid w:val="00D92460"/>
    <w:pPr>
      <w:tabs>
        <w:tab w:val="center" w:pos="4536"/>
        <w:tab w:val="right" w:pos="9072"/>
      </w:tabs>
    </w:pPr>
  </w:style>
  <w:style w:type="character" w:customStyle="1" w:styleId="PieddepageCar">
    <w:name w:val="Pied de page Car"/>
    <w:basedOn w:val="Policepardfaut"/>
    <w:link w:val="Pieddepage"/>
    <w:uiPriority w:val="99"/>
    <w:rsid w:val="00D92460"/>
  </w:style>
  <w:style w:type="character" w:customStyle="1" w:styleId="Titre1Car">
    <w:name w:val="Titre 1 Car"/>
    <w:basedOn w:val="Policepardfaut"/>
    <w:link w:val="Titre1"/>
    <w:uiPriority w:val="9"/>
    <w:rsid w:val="007C563A"/>
    <w:rPr>
      <w:rFonts w:ascii="Calibri" w:eastAsiaTheme="majorEastAsia" w:hAnsi="Calibri" w:cstheme="majorBidi"/>
      <w:b/>
      <w:i/>
      <w:color w:val="0070C0"/>
      <w:sz w:val="28"/>
      <w:szCs w:val="32"/>
    </w:rPr>
  </w:style>
  <w:style w:type="paragraph" w:styleId="En-ttedetabledesmatires">
    <w:name w:val="TOC Heading"/>
    <w:basedOn w:val="Titre1"/>
    <w:next w:val="Normal"/>
    <w:uiPriority w:val="39"/>
    <w:unhideWhenUsed/>
    <w:qFormat/>
    <w:rsid w:val="00481309"/>
    <w:pPr>
      <w:spacing w:line="259" w:lineRule="auto"/>
      <w:outlineLvl w:val="9"/>
    </w:pPr>
    <w:rPr>
      <w:rFonts w:asciiTheme="majorHAnsi" w:hAnsiTheme="majorHAnsi"/>
      <w:b w:val="0"/>
      <w:i w:val="0"/>
      <w:color w:val="2F5496" w:themeColor="accent1" w:themeShade="BF"/>
      <w:sz w:val="32"/>
      <w:lang w:eastAsia="fr-FR"/>
    </w:rPr>
  </w:style>
  <w:style w:type="paragraph" w:styleId="TM1">
    <w:name w:val="toc 1"/>
    <w:basedOn w:val="Normal"/>
    <w:next w:val="Normal"/>
    <w:autoRedefine/>
    <w:uiPriority w:val="39"/>
    <w:unhideWhenUsed/>
    <w:rsid w:val="00481309"/>
    <w:pPr>
      <w:spacing w:after="100"/>
    </w:pPr>
  </w:style>
  <w:style w:type="paragraph" w:styleId="Paragraphedeliste">
    <w:name w:val="List Paragraph"/>
    <w:basedOn w:val="Normal"/>
    <w:uiPriority w:val="34"/>
    <w:qFormat/>
    <w:rsid w:val="007C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5809">
      <w:bodyDiv w:val="1"/>
      <w:marLeft w:val="0"/>
      <w:marRight w:val="0"/>
      <w:marTop w:val="0"/>
      <w:marBottom w:val="0"/>
      <w:divBdr>
        <w:top w:val="none" w:sz="0" w:space="0" w:color="auto"/>
        <w:left w:val="none" w:sz="0" w:space="0" w:color="auto"/>
        <w:bottom w:val="none" w:sz="0" w:space="0" w:color="auto"/>
        <w:right w:val="none" w:sz="0" w:space="0" w:color="auto"/>
      </w:divBdr>
    </w:div>
    <w:div w:id="96826842">
      <w:bodyDiv w:val="1"/>
      <w:marLeft w:val="0"/>
      <w:marRight w:val="0"/>
      <w:marTop w:val="0"/>
      <w:marBottom w:val="0"/>
      <w:divBdr>
        <w:top w:val="none" w:sz="0" w:space="0" w:color="auto"/>
        <w:left w:val="none" w:sz="0" w:space="0" w:color="auto"/>
        <w:bottom w:val="none" w:sz="0" w:space="0" w:color="auto"/>
        <w:right w:val="none" w:sz="0" w:space="0" w:color="auto"/>
      </w:divBdr>
    </w:div>
    <w:div w:id="137888414">
      <w:bodyDiv w:val="1"/>
      <w:marLeft w:val="0"/>
      <w:marRight w:val="0"/>
      <w:marTop w:val="0"/>
      <w:marBottom w:val="0"/>
      <w:divBdr>
        <w:top w:val="none" w:sz="0" w:space="0" w:color="auto"/>
        <w:left w:val="none" w:sz="0" w:space="0" w:color="auto"/>
        <w:bottom w:val="none" w:sz="0" w:space="0" w:color="auto"/>
        <w:right w:val="none" w:sz="0" w:space="0" w:color="auto"/>
      </w:divBdr>
    </w:div>
    <w:div w:id="188491024">
      <w:bodyDiv w:val="1"/>
      <w:marLeft w:val="0"/>
      <w:marRight w:val="0"/>
      <w:marTop w:val="0"/>
      <w:marBottom w:val="0"/>
      <w:divBdr>
        <w:top w:val="none" w:sz="0" w:space="0" w:color="auto"/>
        <w:left w:val="none" w:sz="0" w:space="0" w:color="auto"/>
        <w:bottom w:val="none" w:sz="0" w:space="0" w:color="auto"/>
        <w:right w:val="none" w:sz="0" w:space="0" w:color="auto"/>
      </w:divBdr>
    </w:div>
    <w:div w:id="191696419">
      <w:bodyDiv w:val="1"/>
      <w:marLeft w:val="0"/>
      <w:marRight w:val="0"/>
      <w:marTop w:val="0"/>
      <w:marBottom w:val="0"/>
      <w:divBdr>
        <w:top w:val="none" w:sz="0" w:space="0" w:color="auto"/>
        <w:left w:val="none" w:sz="0" w:space="0" w:color="auto"/>
        <w:bottom w:val="none" w:sz="0" w:space="0" w:color="auto"/>
        <w:right w:val="none" w:sz="0" w:space="0" w:color="auto"/>
      </w:divBdr>
    </w:div>
    <w:div w:id="227545188">
      <w:bodyDiv w:val="1"/>
      <w:marLeft w:val="0"/>
      <w:marRight w:val="0"/>
      <w:marTop w:val="0"/>
      <w:marBottom w:val="0"/>
      <w:divBdr>
        <w:top w:val="none" w:sz="0" w:space="0" w:color="auto"/>
        <w:left w:val="none" w:sz="0" w:space="0" w:color="auto"/>
        <w:bottom w:val="none" w:sz="0" w:space="0" w:color="auto"/>
        <w:right w:val="none" w:sz="0" w:space="0" w:color="auto"/>
      </w:divBdr>
    </w:div>
    <w:div w:id="279146365">
      <w:bodyDiv w:val="1"/>
      <w:marLeft w:val="0"/>
      <w:marRight w:val="0"/>
      <w:marTop w:val="0"/>
      <w:marBottom w:val="0"/>
      <w:divBdr>
        <w:top w:val="none" w:sz="0" w:space="0" w:color="auto"/>
        <w:left w:val="none" w:sz="0" w:space="0" w:color="auto"/>
        <w:bottom w:val="none" w:sz="0" w:space="0" w:color="auto"/>
        <w:right w:val="none" w:sz="0" w:space="0" w:color="auto"/>
      </w:divBdr>
    </w:div>
    <w:div w:id="287592740">
      <w:bodyDiv w:val="1"/>
      <w:marLeft w:val="0"/>
      <w:marRight w:val="0"/>
      <w:marTop w:val="0"/>
      <w:marBottom w:val="0"/>
      <w:divBdr>
        <w:top w:val="none" w:sz="0" w:space="0" w:color="auto"/>
        <w:left w:val="none" w:sz="0" w:space="0" w:color="auto"/>
        <w:bottom w:val="none" w:sz="0" w:space="0" w:color="auto"/>
        <w:right w:val="none" w:sz="0" w:space="0" w:color="auto"/>
      </w:divBdr>
    </w:div>
    <w:div w:id="288516030">
      <w:bodyDiv w:val="1"/>
      <w:marLeft w:val="0"/>
      <w:marRight w:val="0"/>
      <w:marTop w:val="0"/>
      <w:marBottom w:val="0"/>
      <w:divBdr>
        <w:top w:val="none" w:sz="0" w:space="0" w:color="auto"/>
        <w:left w:val="none" w:sz="0" w:space="0" w:color="auto"/>
        <w:bottom w:val="none" w:sz="0" w:space="0" w:color="auto"/>
        <w:right w:val="none" w:sz="0" w:space="0" w:color="auto"/>
      </w:divBdr>
    </w:div>
    <w:div w:id="308756520">
      <w:bodyDiv w:val="1"/>
      <w:marLeft w:val="0"/>
      <w:marRight w:val="0"/>
      <w:marTop w:val="0"/>
      <w:marBottom w:val="0"/>
      <w:divBdr>
        <w:top w:val="none" w:sz="0" w:space="0" w:color="auto"/>
        <w:left w:val="none" w:sz="0" w:space="0" w:color="auto"/>
        <w:bottom w:val="none" w:sz="0" w:space="0" w:color="auto"/>
        <w:right w:val="none" w:sz="0" w:space="0" w:color="auto"/>
      </w:divBdr>
    </w:div>
    <w:div w:id="322053107">
      <w:bodyDiv w:val="1"/>
      <w:marLeft w:val="0"/>
      <w:marRight w:val="0"/>
      <w:marTop w:val="0"/>
      <w:marBottom w:val="0"/>
      <w:divBdr>
        <w:top w:val="none" w:sz="0" w:space="0" w:color="auto"/>
        <w:left w:val="none" w:sz="0" w:space="0" w:color="auto"/>
        <w:bottom w:val="none" w:sz="0" w:space="0" w:color="auto"/>
        <w:right w:val="none" w:sz="0" w:space="0" w:color="auto"/>
      </w:divBdr>
    </w:div>
    <w:div w:id="378093179">
      <w:bodyDiv w:val="1"/>
      <w:marLeft w:val="0"/>
      <w:marRight w:val="0"/>
      <w:marTop w:val="0"/>
      <w:marBottom w:val="0"/>
      <w:divBdr>
        <w:top w:val="none" w:sz="0" w:space="0" w:color="auto"/>
        <w:left w:val="none" w:sz="0" w:space="0" w:color="auto"/>
        <w:bottom w:val="none" w:sz="0" w:space="0" w:color="auto"/>
        <w:right w:val="none" w:sz="0" w:space="0" w:color="auto"/>
      </w:divBdr>
    </w:div>
    <w:div w:id="385683838">
      <w:bodyDiv w:val="1"/>
      <w:marLeft w:val="0"/>
      <w:marRight w:val="0"/>
      <w:marTop w:val="0"/>
      <w:marBottom w:val="0"/>
      <w:divBdr>
        <w:top w:val="none" w:sz="0" w:space="0" w:color="auto"/>
        <w:left w:val="none" w:sz="0" w:space="0" w:color="auto"/>
        <w:bottom w:val="none" w:sz="0" w:space="0" w:color="auto"/>
        <w:right w:val="none" w:sz="0" w:space="0" w:color="auto"/>
      </w:divBdr>
    </w:div>
    <w:div w:id="427583453">
      <w:bodyDiv w:val="1"/>
      <w:marLeft w:val="0"/>
      <w:marRight w:val="0"/>
      <w:marTop w:val="0"/>
      <w:marBottom w:val="0"/>
      <w:divBdr>
        <w:top w:val="none" w:sz="0" w:space="0" w:color="auto"/>
        <w:left w:val="none" w:sz="0" w:space="0" w:color="auto"/>
        <w:bottom w:val="none" w:sz="0" w:space="0" w:color="auto"/>
        <w:right w:val="none" w:sz="0" w:space="0" w:color="auto"/>
      </w:divBdr>
    </w:div>
    <w:div w:id="441848015">
      <w:bodyDiv w:val="1"/>
      <w:marLeft w:val="0"/>
      <w:marRight w:val="0"/>
      <w:marTop w:val="0"/>
      <w:marBottom w:val="0"/>
      <w:divBdr>
        <w:top w:val="none" w:sz="0" w:space="0" w:color="auto"/>
        <w:left w:val="none" w:sz="0" w:space="0" w:color="auto"/>
        <w:bottom w:val="none" w:sz="0" w:space="0" w:color="auto"/>
        <w:right w:val="none" w:sz="0" w:space="0" w:color="auto"/>
      </w:divBdr>
    </w:div>
    <w:div w:id="450519801">
      <w:bodyDiv w:val="1"/>
      <w:marLeft w:val="0"/>
      <w:marRight w:val="0"/>
      <w:marTop w:val="0"/>
      <w:marBottom w:val="0"/>
      <w:divBdr>
        <w:top w:val="none" w:sz="0" w:space="0" w:color="auto"/>
        <w:left w:val="none" w:sz="0" w:space="0" w:color="auto"/>
        <w:bottom w:val="none" w:sz="0" w:space="0" w:color="auto"/>
        <w:right w:val="none" w:sz="0" w:space="0" w:color="auto"/>
      </w:divBdr>
    </w:div>
    <w:div w:id="468480653">
      <w:bodyDiv w:val="1"/>
      <w:marLeft w:val="0"/>
      <w:marRight w:val="0"/>
      <w:marTop w:val="0"/>
      <w:marBottom w:val="0"/>
      <w:divBdr>
        <w:top w:val="none" w:sz="0" w:space="0" w:color="auto"/>
        <w:left w:val="none" w:sz="0" w:space="0" w:color="auto"/>
        <w:bottom w:val="none" w:sz="0" w:space="0" w:color="auto"/>
        <w:right w:val="none" w:sz="0" w:space="0" w:color="auto"/>
      </w:divBdr>
    </w:div>
    <w:div w:id="495269126">
      <w:bodyDiv w:val="1"/>
      <w:marLeft w:val="0"/>
      <w:marRight w:val="0"/>
      <w:marTop w:val="0"/>
      <w:marBottom w:val="0"/>
      <w:divBdr>
        <w:top w:val="none" w:sz="0" w:space="0" w:color="auto"/>
        <w:left w:val="none" w:sz="0" w:space="0" w:color="auto"/>
        <w:bottom w:val="none" w:sz="0" w:space="0" w:color="auto"/>
        <w:right w:val="none" w:sz="0" w:space="0" w:color="auto"/>
      </w:divBdr>
    </w:div>
    <w:div w:id="496269861">
      <w:bodyDiv w:val="1"/>
      <w:marLeft w:val="0"/>
      <w:marRight w:val="0"/>
      <w:marTop w:val="0"/>
      <w:marBottom w:val="0"/>
      <w:divBdr>
        <w:top w:val="none" w:sz="0" w:space="0" w:color="auto"/>
        <w:left w:val="none" w:sz="0" w:space="0" w:color="auto"/>
        <w:bottom w:val="none" w:sz="0" w:space="0" w:color="auto"/>
        <w:right w:val="none" w:sz="0" w:space="0" w:color="auto"/>
      </w:divBdr>
    </w:div>
    <w:div w:id="550269109">
      <w:bodyDiv w:val="1"/>
      <w:marLeft w:val="0"/>
      <w:marRight w:val="0"/>
      <w:marTop w:val="0"/>
      <w:marBottom w:val="0"/>
      <w:divBdr>
        <w:top w:val="none" w:sz="0" w:space="0" w:color="auto"/>
        <w:left w:val="none" w:sz="0" w:space="0" w:color="auto"/>
        <w:bottom w:val="none" w:sz="0" w:space="0" w:color="auto"/>
        <w:right w:val="none" w:sz="0" w:space="0" w:color="auto"/>
      </w:divBdr>
    </w:div>
    <w:div w:id="554656215">
      <w:bodyDiv w:val="1"/>
      <w:marLeft w:val="0"/>
      <w:marRight w:val="0"/>
      <w:marTop w:val="0"/>
      <w:marBottom w:val="0"/>
      <w:divBdr>
        <w:top w:val="none" w:sz="0" w:space="0" w:color="auto"/>
        <w:left w:val="none" w:sz="0" w:space="0" w:color="auto"/>
        <w:bottom w:val="none" w:sz="0" w:space="0" w:color="auto"/>
        <w:right w:val="none" w:sz="0" w:space="0" w:color="auto"/>
      </w:divBdr>
    </w:div>
    <w:div w:id="567886354">
      <w:bodyDiv w:val="1"/>
      <w:marLeft w:val="0"/>
      <w:marRight w:val="0"/>
      <w:marTop w:val="0"/>
      <w:marBottom w:val="0"/>
      <w:divBdr>
        <w:top w:val="none" w:sz="0" w:space="0" w:color="auto"/>
        <w:left w:val="none" w:sz="0" w:space="0" w:color="auto"/>
        <w:bottom w:val="none" w:sz="0" w:space="0" w:color="auto"/>
        <w:right w:val="none" w:sz="0" w:space="0" w:color="auto"/>
      </w:divBdr>
    </w:div>
    <w:div w:id="587888297">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642854595">
      <w:bodyDiv w:val="1"/>
      <w:marLeft w:val="0"/>
      <w:marRight w:val="0"/>
      <w:marTop w:val="0"/>
      <w:marBottom w:val="0"/>
      <w:divBdr>
        <w:top w:val="none" w:sz="0" w:space="0" w:color="auto"/>
        <w:left w:val="none" w:sz="0" w:space="0" w:color="auto"/>
        <w:bottom w:val="none" w:sz="0" w:space="0" w:color="auto"/>
        <w:right w:val="none" w:sz="0" w:space="0" w:color="auto"/>
      </w:divBdr>
    </w:div>
    <w:div w:id="803889394">
      <w:bodyDiv w:val="1"/>
      <w:marLeft w:val="0"/>
      <w:marRight w:val="0"/>
      <w:marTop w:val="0"/>
      <w:marBottom w:val="0"/>
      <w:divBdr>
        <w:top w:val="none" w:sz="0" w:space="0" w:color="auto"/>
        <w:left w:val="none" w:sz="0" w:space="0" w:color="auto"/>
        <w:bottom w:val="none" w:sz="0" w:space="0" w:color="auto"/>
        <w:right w:val="none" w:sz="0" w:space="0" w:color="auto"/>
      </w:divBdr>
    </w:div>
    <w:div w:id="809446723">
      <w:bodyDiv w:val="1"/>
      <w:marLeft w:val="0"/>
      <w:marRight w:val="0"/>
      <w:marTop w:val="0"/>
      <w:marBottom w:val="0"/>
      <w:divBdr>
        <w:top w:val="none" w:sz="0" w:space="0" w:color="auto"/>
        <w:left w:val="none" w:sz="0" w:space="0" w:color="auto"/>
        <w:bottom w:val="none" w:sz="0" w:space="0" w:color="auto"/>
        <w:right w:val="none" w:sz="0" w:space="0" w:color="auto"/>
      </w:divBdr>
    </w:div>
    <w:div w:id="814446151">
      <w:bodyDiv w:val="1"/>
      <w:marLeft w:val="0"/>
      <w:marRight w:val="0"/>
      <w:marTop w:val="0"/>
      <w:marBottom w:val="0"/>
      <w:divBdr>
        <w:top w:val="none" w:sz="0" w:space="0" w:color="auto"/>
        <w:left w:val="none" w:sz="0" w:space="0" w:color="auto"/>
        <w:bottom w:val="none" w:sz="0" w:space="0" w:color="auto"/>
        <w:right w:val="none" w:sz="0" w:space="0" w:color="auto"/>
      </w:divBdr>
    </w:div>
    <w:div w:id="892959191">
      <w:bodyDiv w:val="1"/>
      <w:marLeft w:val="0"/>
      <w:marRight w:val="0"/>
      <w:marTop w:val="0"/>
      <w:marBottom w:val="0"/>
      <w:divBdr>
        <w:top w:val="none" w:sz="0" w:space="0" w:color="auto"/>
        <w:left w:val="none" w:sz="0" w:space="0" w:color="auto"/>
        <w:bottom w:val="none" w:sz="0" w:space="0" w:color="auto"/>
        <w:right w:val="none" w:sz="0" w:space="0" w:color="auto"/>
      </w:divBdr>
    </w:div>
    <w:div w:id="908730432">
      <w:bodyDiv w:val="1"/>
      <w:marLeft w:val="0"/>
      <w:marRight w:val="0"/>
      <w:marTop w:val="0"/>
      <w:marBottom w:val="0"/>
      <w:divBdr>
        <w:top w:val="none" w:sz="0" w:space="0" w:color="auto"/>
        <w:left w:val="none" w:sz="0" w:space="0" w:color="auto"/>
        <w:bottom w:val="none" w:sz="0" w:space="0" w:color="auto"/>
        <w:right w:val="none" w:sz="0" w:space="0" w:color="auto"/>
      </w:divBdr>
    </w:div>
    <w:div w:id="916356462">
      <w:bodyDiv w:val="1"/>
      <w:marLeft w:val="0"/>
      <w:marRight w:val="0"/>
      <w:marTop w:val="0"/>
      <w:marBottom w:val="0"/>
      <w:divBdr>
        <w:top w:val="none" w:sz="0" w:space="0" w:color="auto"/>
        <w:left w:val="none" w:sz="0" w:space="0" w:color="auto"/>
        <w:bottom w:val="none" w:sz="0" w:space="0" w:color="auto"/>
        <w:right w:val="none" w:sz="0" w:space="0" w:color="auto"/>
      </w:divBdr>
    </w:div>
    <w:div w:id="918292690">
      <w:bodyDiv w:val="1"/>
      <w:marLeft w:val="0"/>
      <w:marRight w:val="0"/>
      <w:marTop w:val="0"/>
      <w:marBottom w:val="0"/>
      <w:divBdr>
        <w:top w:val="none" w:sz="0" w:space="0" w:color="auto"/>
        <w:left w:val="none" w:sz="0" w:space="0" w:color="auto"/>
        <w:bottom w:val="none" w:sz="0" w:space="0" w:color="auto"/>
        <w:right w:val="none" w:sz="0" w:space="0" w:color="auto"/>
      </w:divBdr>
    </w:div>
    <w:div w:id="918363780">
      <w:bodyDiv w:val="1"/>
      <w:marLeft w:val="0"/>
      <w:marRight w:val="0"/>
      <w:marTop w:val="0"/>
      <w:marBottom w:val="0"/>
      <w:divBdr>
        <w:top w:val="none" w:sz="0" w:space="0" w:color="auto"/>
        <w:left w:val="none" w:sz="0" w:space="0" w:color="auto"/>
        <w:bottom w:val="none" w:sz="0" w:space="0" w:color="auto"/>
        <w:right w:val="none" w:sz="0" w:space="0" w:color="auto"/>
      </w:divBdr>
    </w:div>
    <w:div w:id="949167017">
      <w:bodyDiv w:val="1"/>
      <w:marLeft w:val="0"/>
      <w:marRight w:val="0"/>
      <w:marTop w:val="0"/>
      <w:marBottom w:val="0"/>
      <w:divBdr>
        <w:top w:val="none" w:sz="0" w:space="0" w:color="auto"/>
        <w:left w:val="none" w:sz="0" w:space="0" w:color="auto"/>
        <w:bottom w:val="none" w:sz="0" w:space="0" w:color="auto"/>
        <w:right w:val="none" w:sz="0" w:space="0" w:color="auto"/>
      </w:divBdr>
    </w:div>
    <w:div w:id="1086145909">
      <w:bodyDiv w:val="1"/>
      <w:marLeft w:val="0"/>
      <w:marRight w:val="0"/>
      <w:marTop w:val="0"/>
      <w:marBottom w:val="0"/>
      <w:divBdr>
        <w:top w:val="none" w:sz="0" w:space="0" w:color="auto"/>
        <w:left w:val="none" w:sz="0" w:space="0" w:color="auto"/>
        <w:bottom w:val="none" w:sz="0" w:space="0" w:color="auto"/>
        <w:right w:val="none" w:sz="0" w:space="0" w:color="auto"/>
      </w:divBdr>
    </w:div>
    <w:div w:id="1104182517">
      <w:bodyDiv w:val="1"/>
      <w:marLeft w:val="0"/>
      <w:marRight w:val="0"/>
      <w:marTop w:val="0"/>
      <w:marBottom w:val="0"/>
      <w:divBdr>
        <w:top w:val="none" w:sz="0" w:space="0" w:color="auto"/>
        <w:left w:val="none" w:sz="0" w:space="0" w:color="auto"/>
        <w:bottom w:val="none" w:sz="0" w:space="0" w:color="auto"/>
        <w:right w:val="none" w:sz="0" w:space="0" w:color="auto"/>
      </w:divBdr>
    </w:div>
    <w:div w:id="1144079979">
      <w:bodyDiv w:val="1"/>
      <w:marLeft w:val="0"/>
      <w:marRight w:val="0"/>
      <w:marTop w:val="0"/>
      <w:marBottom w:val="0"/>
      <w:divBdr>
        <w:top w:val="none" w:sz="0" w:space="0" w:color="auto"/>
        <w:left w:val="none" w:sz="0" w:space="0" w:color="auto"/>
        <w:bottom w:val="none" w:sz="0" w:space="0" w:color="auto"/>
        <w:right w:val="none" w:sz="0" w:space="0" w:color="auto"/>
      </w:divBdr>
    </w:div>
    <w:div w:id="1206135633">
      <w:bodyDiv w:val="1"/>
      <w:marLeft w:val="0"/>
      <w:marRight w:val="0"/>
      <w:marTop w:val="0"/>
      <w:marBottom w:val="0"/>
      <w:divBdr>
        <w:top w:val="none" w:sz="0" w:space="0" w:color="auto"/>
        <w:left w:val="none" w:sz="0" w:space="0" w:color="auto"/>
        <w:bottom w:val="none" w:sz="0" w:space="0" w:color="auto"/>
        <w:right w:val="none" w:sz="0" w:space="0" w:color="auto"/>
      </w:divBdr>
    </w:div>
    <w:div w:id="1223247629">
      <w:bodyDiv w:val="1"/>
      <w:marLeft w:val="0"/>
      <w:marRight w:val="0"/>
      <w:marTop w:val="0"/>
      <w:marBottom w:val="0"/>
      <w:divBdr>
        <w:top w:val="none" w:sz="0" w:space="0" w:color="auto"/>
        <w:left w:val="none" w:sz="0" w:space="0" w:color="auto"/>
        <w:bottom w:val="none" w:sz="0" w:space="0" w:color="auto"/>
        <w:right w:val="none" w:sz="0" w:space="0" w:color="auto"/>
      </w:divBdr>
    </w:div>
    <w:div w:id="1269393844">
      <w:bodyDiv w:val="1"/>
      <w:marLeft w:val="0"/>
      <w:marRight w:val="0"/>
      <w:marTop w:val="0"/>
      <w:marBottom w:val="0"/>
      <w:divBdr>
        <w:top w:val="none" w:sz="0" w:space="0" w:color="auto"/>
        <w:left w:val="none" w:sz="0" w:space="0" w:color="auto"/>
        <w:bottom w:val="none" w:sz="0" w:space="0" w:color="auto"/>
        <w:right w:val="none" w:sz="0" w:space="0" w:color="auto"/>
      </w:divBdr>
    </w:div>
    <w:div w:id="1282952859">
      <w:bodyDiv w:val="1"/>
      <w:marLeft w:val="0"/>
      <w:marRight w:val="0"/>
      <w:marTop w:val="0"/>
      <w:marBottom w:val="0"/>
      <w:divBdr>
        <w:top w:val="none" w:sz="0" w:space="0" w:color="auto"/>
        <w:left w:val="none" w:sz="0" w:space="0" w:color="auto"/>
        <w:bottom w:val="none" w:sz="0" w:space="0" w:color="auto"/>
        <w:right w:val="none" w:sz="0" w:space="0" w:color="auto"/>
      </w:divBdr>
    </w:div>
    <w:div w:id="1304314573">
      <w:bodyDiv w:val="1"/>
      <w:marLeft w:val="0"/>
      <w:marRight w:val="0"/>
      <w:marTop w:val="0"/>
      <w:marBottom w:val="0"/>
      <w:divBdr>
        <w:top w:val="none" w:sz="0" w:space="0" w:color="auto"/>
        <w:left w:val="none" w:sz="0" w:space="0" w:color="auto"/>
        <w:bottom w:val="none" w:sz="0" w:space="0" w:color="auto"/>
        <w:right w:val="none" w:sz="0" w:space="0" w:color="auto"/>
      </w:divBdr>
    </w:div>
    <w:div w:id="1326862314">
      <w:bodyDiv w:val="1"/>
      <w:marLeft w:val="0"/>
      <w:marRight w:val="0"/>
      <w:marTop w:val="0"/>
      <w:marBottom w:val="0"/>
      <w:divBdr>
        <w:top w:val="none" w:sz="0" w:space="0" w:color="auto"/>
        <w:left w:val="none" w:sz="0" w:space="0" w:color="auto"/>
        <w:bottom w:val="none" w:sz="0" w:space="0" w:color="auto"/>
        <w:right w:val="none" w:sz="0" w:space="0" w:color="auto"/>
      </w:divBdr>
    </w:div>
    <w:div w:id="1381057069">
      <w:bodyDiv w:val="1"/>
      <w:marLeft w:val="0"/>
      <w:marRight w:val="0"/>
      <w:marTop w:val="0"/>
      <w:marBottom w:val="0"/>
      <w:divBdr>
        <w:top w:val="none" w:sz="0" w:space="0" w:color="auto"/>
        <w:left w:val="none" w:sz="0" w:space="0" w:color="auto"/>
        <w:bottom w:val="none" w:sz="0" w:space="0" w:color="auto"/>
        <w:right w:val="none" w:sz="0" w:space="0" w:color="auto"/>
      </w:divBdr>
    </w:div>
    <w:div w:id="1439175017">
      <w:bodyDiv w:val="1"/>
      <w:marLeft w:val="0"/>
      <w:marRight w:val="0"/>
      <w:marTop w:val="0"/>
      <w:marBottom w:val="0"/>
      <w:divBdr>
        <w:top w:val="none" w:sz="0" w:space="0" w:color="auto"/>
        <w:left w:val="none" w:sz="0" w:space="0" w:color="auto"/>
        <w:bottom w:val="none" w:sz="0" w:space="0" w:color="auto"/>
        <w:right w:val="none" w:sz="0" w:space="0" w:color="auto"/>
      </w:divBdr>
    </w:div>
    <w:div w:id="1512799590">
      <w:bodyDiv w:val="1"/>
      <w:marLeft w:val="0"/>
      <w:marRight w:val="0"/>
      <w:marTop w:val="0"/>
      <w:marBottom w:val="0"/>
      <w:divBdr>
        <w:top w:val="none" w:sz="0" w:space="0" w:color="auto"/>
        <w:left w:val="none" w:sz="0" w:space="0" w:color="auto"/>
        <w:bottom w:val="none" w:sz="0" w:space="0" w:color="auto"/>
        <w:right w:val="none" w:sz="0" w:space="0" w:color="auto"/>
      </w:divBdr>
    </w:div>
    <w:div w:id="1541238577">
      <w:bodyDiv w:val="1"/>
      <w:marLeft w:val="0"/>
      <w:marRight w:val="0"/>
      <w:marTop w:val="0"/>
      <w:marBottom w:val="0"/>
      <w:divBdr>
        <w:top w:val="none" w:sz="0" w:space="0" w:color="auto"/>
        <w:left w:val="none" w:sz="0" w:space="0" w:color="auto"/>
        <w:bottom w:val="none" w:sz="0" w:space="0" w:color="auto"/>
        <w:right w:val="none" w:sz="0" w:space="0" w:color="auto"/>
      </w:divBdr>
    </w:div>
    <w:div w:id="1593736998">
      <w:bodyDiv w:val="1"/>
      <w:marLeft w:val="0"/>
      <w:marRight w:val="0"/>
      <w:marTop w:val="0"/>
      <w:marBottom w:val="0"/>
      <w:divBdr>
        <w:top w:val="none" w:sz="0" w:space="0" w:color="auto"/>
        <w:left w:val="none" w:sz="0" w:space="0" w:color="auto"/>
        <w:bottom w:val="none" w:sz="0" w:space="0" w:color="auto"/>
        <w:right w:val="none" w:sz="0" w:space="0" w:color="auto"/>
      </w:divBdr>
    </w:div>
    <w:div w:id="1595824871">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1679504749">
      <w:bodyDiv w:val="1"/>
      <w:marLeft w:val="0"/>
      <w:marRight w:val="0"/>
      <w:marTop w:val="0"/>
      <w:marBottom w:val="0"/>
      <w:divBdr>
        <w:top w:val="none" w:sz="0" w:space="0" w:color="auto"/>
        <w:left w:val="none" w:sz="0" w:space="0" w:color="auto"/>
        <w:bottom w:val="none" w:sz="0" w:space="0" w:color="auto"/>
        <w:right w:val="none" w:sz="0" w:space="0" w:color="auto"/>
      </w:divBdr>
    </w:div>
    <w:div w:id="1699233765">
      <w:bodyDiv w:val="1"/>
      <w:marLeft w:val="0"/>
      <w:marRight w:val="0"/>
      <w:marTop w:val="0"/>
      <w:marBottom w:val="0"/>
      <w:divBdr>
        <w:top w:val="none" w:sz="0" w:space="0" w:color="auto"/>
        <w:left w:val="none" w:sz="0" w:space="0" w:color="auto"/>
        <w:bottom w:val="none" w:sz="0" w:space="0" w:color="auto"/>
        <w:right w:val="none" w:sz="0" w:space="0" w:color="auto"/>
      </w:divBdr>
    </w:div>
    <w:div w:id="1801024325">
      <w:bodyDiv w:val="1"/>
      <w:marLeft w:val="0"/>
      <w:marRight w:val="0"/>
      <w:marTop w:val="0"/>
      <w:marBottom w:val="0"/>
      <w:divBdr>
        <w:top w:val="none" w:sz="0" w:space="0" w:color="auto"/>
        <w:left w:val="none" w:sz="0" w:space="0" w:color="auto"/>
        <w:bottom w:val="none" w:sz="0" w:space="0" w:color="auto"/>
        <w:right w:val="none" w:sz="0" w:space="0" w:color="auto"/>
      </w:divBdr>
    </w:div>
    <w:div w:id="1906377115">
      <w:bodyDiv w:val="1"/>
      <w:marLeft w:val="0"/>
      <w:marRight w:val="0"/>
      <w:marTop w:val="0"/>
      <w:marBottom w:val="0"/>
      <w:divBdr>
        <w:top w:val="none" w:sz="0" w:space="0" w:color="auto"/>
        <w:left w:val="none" w:sz="0" w:space="0" w:color="auto"/>
        <w:bottom w:val="none" w:sz="0" w:space="0" w:color="auto"/>
        <w:right w:val="none" w:sz="0" w:space="0" w:color="auto"/>
      </w:divBdr>
    </w:div>
    <w:div w:id="1908763494">
      <w:bodyDiv w:val="1"/>
      <w:marLeft w:val="0"/>
      <w:marRight w:val="0"/>
      <w:marTop w:val="0"/>
      <w:marBottom w:val="0"/>
      <w:divBdr>
        <w:top w:val="none" w:sz="0" w:space="0" w:color="auto"/>
        <w:left w:val="none" w:sz="0" w:space="0" w:color="auto"/>
        <w:bottom w:val="none" w:sz="0" w:space="0" w:color="auto"/>
        <w:right w:val="none" w:sz="0" w:space="0" w:color="auto"/>
      </w:divBdr>
    </w:div>
    <w:div w:id="1938632437">
      <w:bodyDiv w:val="1"/>
      <w:marLeft w:val="0"/>
      <w:marRight w:val="0"/>
      <w:marTop w:val="0"/>
      <w:marBottom w:val="0"/>
      <w:divBdr>
        <w:top w:val="none" w:sz="0" w:space="0" w:color="auto"/>
        <w:left w:val="none" w:sz="0" w:space="0" w:color="auto"/>
        <w:bottom w:val="none" w:sz="0" w:space="0" w:color="auto"/>
        <w:right w:val="none" w:sz="0" w:space="0" w:color="auto"/>
      </w:divBdr>
    </w:div>
    <w:div w:id="1967540981">
      <w:bodyDiv w:val="1"/>
      <w:marLeft w:val="0"/>
      <w:marRight w:val="0"/>
      <w:marTop w:val="0"/>
      <w:marBottom w:val="0"/>
      <w:divBdr>
        <w:top w:val="none" w:sz="0" w:space="0" w:color="auto"/>
        <w:left w:val="none" w:sz="0" w:space="0" w:color="auto"/>
        <w:bottom w:val="none" w:sz="0" w:space="0" w:color="auto"/>
        <w:right w:val="none" w:sz="0" w:space="0" w:color="auto"/>
      </w:divBdr>
    </w:div>
    <w:div w:id="2033677512">
      <w:bodyDiv w:val="1"/>
      <w:marLeft w:val="0"/>
      <w:marRight w:val="0"/>
      <w:marTop w:val="0"/>
      <w:marBottom w:val="0"/>
      <w:divBdr>
        <w:top w:val="none" w:sz="0" w:space="0" w:color="auto"/>
        <w:left w:val="none" w:sz="0" w:space="0" w:color="auto"/>
        <w:bottom w:val="none" w:sz="0" w:space="0" w:color="auto"/>
        <w:right w:val="none" w:sz="0" w:space="0" w:color="auto"/>
      </w:divBdr>
    </w:div>
    <w:div w:id="2039237339">
      <w:bodyDiv w:val="1"/>
      <w:marLeft w:val="0"/>
      <w:marRight w:val="0"/>
      <w:marTop w:val="0"/>
      <w:marBottom w:val="0"/>
      <w:divBdr>
        <w:top w:val="none" w:sz="0" w:space="0" w:color="auto"/>
        <w:left w:val="none" w:sz="0" w:space="0" w:color="auto"/>
        <w:bottom w:val="none" w:sz="0" w:space="0" w:color="auto"/>
        <w:right w:val="none" w:sz="0" w:space="0" w:color="auto"/>
      </w:divBdr>
    </w:div>
    <w:div w:id="2044094816">
      <w:bodyDiv w:val="1"/>
      <w:marLeft w:val="0"/>
      <w:marRight w:val="0"/>
      <w:marTop w:val="0"/>
      <w:marBottom w:val="0"/>
      <w:divBdr>
        <w:top w:val="none" w:sz="0" w:space="0" w:color="auto"/>
        <w:left w:val="none" w:sz="0" w:space="0" w:color="auto"/>
        <w:bottom w:val="none" w:sz="0" w:space="0" w:color="auto"/>
        <w:right w:val="none" w:sz="0" w:space="0" w:color="auto"/>
      </w:divBdr>
    </w:div>
    <w:div w:id="2046362950">
      <w:bodyDiv w:val="1"/>
      <w:marLeft w:val="0"/>
      <w:marRight w:val="0"/>
      <w:marTop w:val="0"/>
      <w:marBottom w:val="0"/>
      <w:divBdr>
        <w:top w:val="none" w:sz="0" w:space="0" w:color="auto"/>
        <w:left w:val="none" w:sz="0" w:space="0" w:color="auto"/>
        <w:bottom w:val="none" w:sz="0" w:space="0" w:color="auto"/>
        <w:right w:val="none" w:sz="0" w:space="0" w:color="auto"/>
      </w:divBdr>
    </w:div>
    <w:div w:id="2054504042">
      <w:bodyDiv w:val="1"/>
      <w:marLeft w:val="0"/>
      <w:marRight w:val="0"/>
      <w:marTop w:val="0"/>
      <w:marBottom w:val="0"/>
      <w:divBdr>
        <w:top w:val="none" w:sz="0" w:space="0" w:color="auto"/>
        <w:left w:val="none" w:sz="0" w:space="0" w:color="auto"/>
        <w:bottom w:val="none" w:sz="0" w:space="0" w:color="auto"/>
        <w:right w:val="none" w:sz="0" w:space="0" w:color="auto"/>
      </w:divBdr>
    </w:div>
    <w:div w:id="2116898428">
      <w:bodyDiv w:val="1"/>
      <w:marLeft w:val="0"/>
      <w:marRight w:val="0"/>
      <w:marTop w:val="0"/>
      <w:marBottom w:val="0"/>
      <w:divBdr>
        <w:top w:val="none" w:sz="0" w:space="0" w:color="auto"/>
        <w:left w:val="none" w:sz="0" w:space="0" w:color="auto"/>
        <w:bottom w:val="none" w:sz="0" w:space="0" w:color="auto"/>
        <w:right w:val="none" w:sz="0" w:space="0" w:color="auto"/>
      </w:divBdr>
    </w:div>
    <w:div w:id="2124300377">
      <w:bodyDiv w:val="1"/>
      <w:marLeft w:val="0"/>
      <w:marRight w:val="0"/>
      <w:marTop w:val="0"/>
      <w:marBottom w:val="0"/>
      <w:divBdr>
        <w:top w:val="none" w:sz="0" w:space="0" w:color="auto"/>
        <w:left w:val="none" w:sz="0" w:space="0" w:color="auto"/>
        <w:bottom w:val="none" w:sz="0" w:space="0" w:color="auto"/>
        <w:right w:val="none" w:sz="0" w:space="0" w:color="auto"/>
      </w:divBdr>
    </w:div>
    <w:div w:id="2124953681">
      <w:bodyDiv w:val="1"/>
      <w:marLeft w:val="0"/>
      <w:marRight w:val="0"/>
      <w:marTop w:val="0"/>
      <w:marBottom w:val="0"/>
      <w:divBdr>
        <w:top w:val="none" w:sz="0" w:space="0" w:color="auto"/>
        <w:left w:val="none" w:sz="0" w:space="0" w:color="auto"/>
        <w:bottom w:val="none" w:sz="0" w:space="0" w:color="auto"/>
        <w:right w:val="none" w:sz="0" w:space="0" w:color="auto"/>
      </w:divBdr>
    </w:div>
    <w:div w:id="2125886040">
      <w:bodyDiv w:val="1"/>
      <w:marLeft w:val="0"/>
      <w:marRight w:val="0"/>
      <w:marTop w:val="0"/>
      <w:marBottom w:val="0"/>
      <w:divBdr>
        <w:top w:val="none" w:sz="0" w:space="0" w:color="auto"/>
        <w:left w:val="none" w:sz="0" w:space="0" w:color="auto"/>
        <w:bottom w:val="none" w:sz="0" w:space="0" w:color="auto"/>
        <w:right w:val="none" w:sz="0" w:space="0" w:color="auto"/>
      </w:divBdr>
    </w:div>
    <w:div w:id="21342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yperlink" Target="https://www.legifrance.gouv.fr/download/pdf?id=Ne5gV38DDFO32Odgcw6GRRqAan03mhLJC5z3cVMEAsc=" TargetMode="External"/><Relationship Id="rId18" Type="http://schemas.openxmlformats.org/officeDocument/2006/relationships/hyperlink" Target="https://www.legifrance.gouv.fr/download/pdf?id=F_AE0EUvs8I4NaYDyhZLs-6yplGEb0Xgie4-T-nS53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france.gouv.fr/download/pdf?id=MKq150fyFomjeG86XTVS4iRtmPcKmvLkwxoFKsc5r-c=" TargetMode="External"/><Relationship Id="rId7" Type="http://schemas.openxmlformats.org/officeDocument/2006/relationships/endnotes" Target="endnotes.xml"/><Relationship Id="rId12" Type="http://schemas.openxmlformats.org/officeDocument/2006/relationships/hyperlink" Target="https://www.legifrance.gouv.fr/download/pdf?id=eJk1XPJE4gGyZj66ez5Y9vGCLfB30QVspZYFwUBb6ak=" TargetMode="External"/><Relationship Id="rId17" Type="http://schemas.openxmlformats.org/officeDocument/2006/relationships/hyperlink" Target="https://www.legifrance.gouv.fr/download/pdf?id=eJk1XPJE4gGyZj66ez5Y9upLQ_73v3YJIyGkPkXsgCg=" TargetMode="External"/><Relationship Id="rId25" Type="http://schemas.openxmlformats.org/officeDocument/2006/relationships/hyperlink" Target="https://www.legifrance.gouv.fr/download/pdf?id=7jybz1pnmMknqZda-LPp9Tg8dfuYLobMvhwak3XtkyQ=" TargetMode="External"/><Relationship Id="rId2" Type="http://schemas.openxmlformats.org/officeDocument/2006/relationships/numbering" Target="numbering.xml"/><Relationship Id="rId16" Type="http://schemas.openxmlformats.org/officeDocument/2006/relationships/hyperlink" Target="https://www.legifrance.gouv.fr/download/pdf?id=4hwHjoDW230-R6DRNcSONevOyvDbW4agN1KE7eJ3E4E=" TargetMode="External"/><Relationship Id="rId20" Type="http://schemas.openxmlformats.org/officeDocument/2006/relationships/hyperlink" Target="https://www.legifrance.gouv.fr/jorf/id/JORFTEXT000053508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MuF6rwZ9CXvsuugH8XHH18MRKUw27BtEned_NowKm5Q=" TargetMode="External"/><Relationship Id="rId24" Type="http://schemas.openxmlformats.org/officeDocument/2006/relationships/hyperlink" Target="https://www.legifrance.gouv.fr/download/pdf?id=7F_wonxiMN_a419Id1Cs-TFlVRKUN-sUNk3r-G5ek4A=" TargetMode="External"/><Relationship Id="rId5" Type="http://schemas.openxmlformats.org/officeDocument/2006/relationships/webSettings" Target="webSettings.xml"/><Relationship Id="rId15" Type="http://schemas.openxmlformats.org/officeDocument/2006/relationships/hyperlink" Target="https://www.legifrance.gouv.fr/download/pdf?id=1DFoiL7NO9xSD8rrPeZaQl3o5lLmdRUUpFMr6ZWnSW4=" TargetMode="External"/><Relationship Id="rId23" Type="http://schemas.openxmlformats.org/officeDocument/2006/relationships/hyperlink" Target="https://www.economie.gouv.fr/files/files/2026/ppe3.pdf?v=1772447721" TargetMode="External"/><Relationship Id="rId28" Type="http://schemas.openxmlformats.org/officeDocument/2006/relationships/theme" Target="theme/theme1.xml"/><Relationship Id="rId10" Type="http://schemas.openxmlformats.org/officeDocument/2006/relationships/hyperlink" Target="https://www.legifrance.gouv.fr/download/pdf?id=SckiDTo_R1JfzS9sL_qArDslHBs6k4KOYQma8Zvbils=" TargetMode="External"/><Relationship Id="rId19" Type="http://schemas.openxmlformats.org/officeDocument/2006/relationships/hyperlink" Target="https://www.legifrance.gouv.fr/download/pdf?id=qxKzHgRqYENWry3MXWz55HgioUnuvSQl30buzS0K9hY=" TargetMode="External"/><Relationship Id="rId4" Type="http://schemas.openxmlformats.org/officeDocument/2006/relationships/settings" Target="settings.xml"/><Relationship Id="rId9" Type="http://schemas.openxmlformats.org/officeDocument/2006/relationships/hyperlink" Target="https://www.legifrance.gouv.fr/download/pdf?id=4hwHjoDW230-R6DRNcSONdAWhRDD8LWdMqRihxSDaKo=" TargetMode="External"/><Relationship Id="rId14" Type="http://schemas.openxmlformats.org/officeDocument/2006/relationships/hyperlink" Target="https://www.legifrance.gouv.fr/download/pdf?id=7F_wonxiMN_a419Id1Cs-anYP7vb2AgJcqAsNrHUrsw=" TargetMode="External"/><Relationship Id="rId22" Type="http://schemas.openxmlformats.org/officeDocument/2006/relationships/hyperlink" Target="https://www.legifrance.gouv.fr/download/pdf?id=SckiDTo_R1JfzS9sL_qArP_pik3NODSsWVUey25O64c="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3FA1-AE30-4B9C-8A08-78B48494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7</Pages>
  <Words>2425</Words>
  <Characters>13338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Piatek</dc:creator>
  <cp:keywords/>
  <dc:description/>
  <cp:lastModifiedBy>Jean-Marc Piatek</cp:lastModifiedBy>
  <cp:revision>184</cp:revision>
  <dcterms:created xsi:type="dcterms:W3CDTF">2025-12-12T09:55:00Z</dcterms:created>
  <dcterms:modified xsi:type="dcterms:W3CDTF">2026-03-03T13:22:00Z</dcterms:modified>
</cp:coreProperties>
</file>