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2E" w:rsidRPr="00A858BD" w:rsidRDefault="006A1C2E" w:rsidP="006A1C2E">
      <w:pPr>
        <w:shd w:val="clear" w:color="auto" w:fill="E7E6E6" w:themeFill="background2"/>
        <w:rPr>
          <w:b/>
          <w:i/>
          <w:sz w:val="28"/>
          <w:szCs w:val="28"/>
        </w:rPr>
      </w:pPr>
      <w:bookmarkStart w:id="0" w:name="_Hlk37146577"/>
      <w:r w:rsidRPr="00A858BD">
        <w:rPr>
          <w:b/>
          <w:i/>
          <w:sz w:val="28"/>
          <w:szCs w:val="28"/>
        </w:rPr>
        <w:t>Veille réglementaire</w:t>
      </w:r>
      <w:r>
        <w:rPr>
          <w:b/>
          <w:i/>
          <w:sz w:val="28"/>
          <w:szCs w:val="28"/>
        </w:rPr>
        <w:t xml:space="preserve"> #décembre 2025</w:t>
      </w:r>
    </w:p>
    <w:p w:rsidR="006A1C2E" w:rsidRDefault="006A1C2E" w:rsidP="006A1C2E"/>
    <w:p w:rsidR="006A1C2E" w:rsidRDefault="006A1C2E" w:rsidP="006A1C2E"/>
    <w:p w:rsidR="006A1C2E" w:rsidRDefault="00E53CE0" w:rsidP="006A1C2E">
      <w:pPr>
        <w:jc w:val="both"/>
      </w:pPr>
      <w:r>
        <w:t>Le département Maîtrise de l’Energie de l’ATEE</w:t>
      </w:r>
      <w:r w:rsidR="00A67E1F">
        <w:t>,</w:t>
      </w:r>
      <w:r>
        <w:t xml:space="preserve"> </w:t>
      </w:r>
      <w:r w:rsidR="006A1C2E">
        <w:t>vous propos</w:t>
      </w:r>
      <w:r>
        <w:t>e</w:t>
      </w:r>
      <w:r w:rsidR="006A1C2E">
        <w:t xml:space="preserve"> </w:t>
      </w:r>
      <w:r>
        <w:t>une</w:t>
      </w:r>
      <w:r w:rsidR="006A1C2E">
        <w:t xml:space="preserve"> sélection mensuelle des textes réglementaires </w:t>
      </w:r>
      <w:r w:rsidR="00717692">
        <w:t>à</w:t>
      </w:r>
      <w:r w:rsidR="006A1C2E">
        <w:t xml:space="preserve"> laquelle </w:t>
      </w:r>
      <w:r w:rsidR="00717692">
        <w:t xml:space="preserve">sont liés </w:t>
      </w:r>
      <w:r w:rsidR="006A1C2E">
        <w:t xml:space="preserve">les thèmes de la maîtrise de l’énergie, l’efficacité énergétique, l’environnement et plus amplement la décarbonation. </w:t>
      </w:r>
    </w:p>
    <w:p w:rsidR="006A1C2E" w:rsidRDefault="006A1C2E" w:rsidP="006A1C2E">
      <w:pPr>
        <w:jc w:val="both"/>
      </w:pPr>
    </w:p>
    <w:bookmarkEnd w:id="0"/>
    <w:p w:rsidR="006A1C2E" w:rsidRDefault="00A67E1F" w:rsidP="006A1C2E">
      <w:pPr>
        <w:jc w:val="both"/>
      </w:pPr>
      <w:r>
        <w:t xml:space="preserve">Elle </w:t>
      </w:r>
      <w:r w:rsidR="006A1C2E" w:rsidRPr="0042040E">
        <w:t xml:space="preserve">s'adresse en premier </w:t>
      </w:r>
      <w:r>
        <w:t xml:space="preserve">lieu </w:t>
      </w:r>
      <w:r w:rsidR="006A1C2E" w:rsidRPr="0042040E">
        <w:t xml:space="preserve">aux </w:t>
      </w:r>
      <w:r>
        <w:t xml:space="preserve">personnes en charge de gérer les économies d’énergie et la décarbonation dans l’industrie qui ne </w:t>
      </w:r>
      <w:r w:rsidR="006A1C2E" w:rsidRPr="0042040E">
        <w:t>dispos</w:t>
      </w:r>
      <w:r>
        <w:t>e</w:t>
      </w:r>
      <w:r w:rsidR="006A1C2E" w:rsidRPr="0042040E">
        <w:t>nt pas de service de veille</w:t>
      </w:r>
      <w:r w:rsidR="006A1C2E">
        <w:t xml:space="preserve"> en interne</w:t>
      </w:r>
      <w:r>
        <w:t>, p</w:t>
      </w:r>
      <w:r w:rsidR="006A1C2E">
        <w:t>uis</w:t>
      </w:r>
      <w:r>
        <w:t xml:space="preserve"> </w:t>
      </w:r>
      <w:r w:rsidR="006A1C2E">
        <w:t>à tous ceux qui souhaitent consolider leur connaissance sur la réglementation.</w:t>
      </w:r>
    </w:p>
    <w:p w:rsidR="006A1C2E" w:rsidRDefault="006A1C2E" w:rsidP="006A1C2E">
      <w:pPr>
        <w:jc w:val="both"/>
      </w:pPr>
    </w:p>
    <w:p w:rsidR="00C44074" w:rsidRDefault="00C44074" w:rsidP="00C44074">
      <w:pPr>
        <w:jc w:val="both"/>
      </w:pPr>
      <w:r>
        <w:t xml:space="preserve">Pour rappel, notre veille réglementaire </w:t>
      </w:r>
      <w:r w:rsidRPr="00457C1A">
        <w:t>est obtenue à partir des textes législatifs et réglementaires</w:t>
      </w:r>
      <w:r>
        <w:t>,</w:t>
      </w:r>
      <w:r w:rsidRPr="00457C1A">
        <w:t xml:space="preserve"> édités par </w:t>
      </w:r>
      <w:proofErr w:type="spellStart"/>
      <w:r w:rsidRPr="00E53CE0">
        <w:rPr>
          <w:i/>
        </w:rPr>
        <w:t>Legifrance</w:t>
      </w:r>
      <w:proofErr w:type="spellEnd"/>
      <w:r>
        <w:t>, le</w:t>
      </w:r>
      <w:r w:rsidRPr="00E53CE0">
        <w:rPr>
          <w:i/>
        </w:rPr>
        <w:t xml:space="preserve"> </w:t>
      </w:r>
      <w:r w:rsidRPr="00457C1A">
        <w:t>service public de la diffusion du droit par l'Internet.</w:t>
      </w:r>
      <w:r w:rsidR="00B11543">
        <w:t xml:space="preserve"> Elle ne fait l’objet d’aucune sous-traitance.</w:t>
      </w:r>
    </w:p>
    <w:p w:rsidR="00C44074" w:rsidRDefault="00C44074" w:rsidP="00C44074">
      <w:pPr>
        <w:jc w:val="both"/>
      </w:pPr>
    </w:p>
    <w:p w:rsidR="006A1C2E" w:rsidRDefault="00DC0BB1" w:rsidP="006A1C2E">
      <w:pPr>
        <w:jc w:val="both"/>
      </w:pPr>
      <w:r w:rsidRPr="00DC0BB1">
        <w:t>La</w:t>
      </w:r>
      <w:r w:rsidR="006A1C2E" w:rsidRPr="00DC0BB1">
        <w:t xml:space="preserve"> </w:t>
      </w:r>
      <w:r w:rsidR="006A1C2E">
        <w:t xml:space="preserve">réglementation est en permanente évolution, il peut arriver que certains textes présentés dans notre veille réglementaire aient déjà fait l’objet, dans l’entretemps, d’une modification : consultez toujours la dernière version en vigueur sur le site </w:t>
      </w:r>
      <w:hyperlink r:id="rId8" w:history="1">
        <w:r w:rsidR="006A1C2E" w:rsidRPr="00C12479">
          <w:rPr>
            <w:rStyle w:val="Lienhypertexte"/>
          </w:rPr>
          <w:t>www.legifrance.gouv.fr</w:t>
        </w:r>
      </w:hyperlink>
      <w:r w:rsidR="006A1C2E">
        <w:t>.</w:t>
      </w:r>
    </w:p>
    <w:p w:rsidR="006A1C2E" w:rsidRDefault="006A1C2E" w:rsidP="00EB5104">
      <w:pPr>
        <w:pStyle w:val="Textebrut"/>
      </w:pPr>
    </w:p>
    <w:p w:rsidR="00DC0BB1" w:rsidRDefault="00DC0BB1" w:rsidP="00EB5104">
      <w:pPr>
        <w:pStyle w:val="Textebrut"/>
      </w:pPr>
    </w:p>
    <w:p w:rsidR="00481309" w:rsidRDefault="00481309" w:rsidP="00EB5104">
      <w:pPr>
        <w:pStyle w:val="Textebrut"/>
      </w:pPr>
    </w:p>
    <w:sdt>
      <w:sdtPr>
        <w:rPr>
          <w:rFonts w:asciiTheme="minorHAnsi" w:eastAsiaTheme="minorHAnsi" w:hAnsiTheme="minorHAnsi" w:cstheme="minorBidi"/>
          <w:color w:val="auto"/>
          <w:sz w:val="22"/>
          <w:szCs w:val="22"/>
          <w:lang w:eastAsia="en-US"/>
        </w:rPr>
        <w:id w:val="-1808469591"/>
        <w:docPartObj>
          <w:docPartGallery w:val="Table of Contents"/>
          <w:docPartUnique/>
        </w:docPartObj>
      </w:sdtPr>
      <w:sdtEndPr>
        <w:rPr>
          <w:b/>
          <w:bCs/>
        </w:rPr>
      </w:sdtEndPr>
      <w:sdtContent>
        <w:p w:rsidR="00481309" w:rsidRDefault="00481309">
          <w:pPr>
            <w:pStyle w:val="En-ttedetabledesmatires"/>
          </w:pPr>
          <w:r>
            <w:t>Table des matières</w:t>
          </w:r>
        </w:p>
        <w:p w:rsidR="00F80383" w:rsidRDefault="0048130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18523572" w:history="1">
            <w:r w:rsidR="00F80383" w:rsidRPr="008962E6">
              <w:rPr>
                <w:rStyle w:val="Lienhypertexte"/>
                <w:noProof/>
              </w:rPr>
              <w:t>Aides de minimis</w:t>
            </w:r>
            <w:r w:rsidR="00F80383">
              <w:rPr>
                <w:noProof/>
                <w:webHidden/>
              </w:rPr>
              <w:tab/>
            </w:r>
            <w:r w:rsidR="00F80383">
              <w:rPr>
                <w:noProof/>
                <w:webHidden/>
              </w:rPr>
              <w:fldChar w:fldCharType="begin"/>
            </w:r>
            <w:r w:rsidR="00F80383">
              <w:rPr>
                <w:noProof/>
                <w:webHidden/>
              </w:rPr>
              <w:instrText xml:space="preserve"> PAGEREF _Toc218523572 \h </w:instrText>
            </w:r>
            <w:r w:rsidR="00F80383">
              <w:rPr>
                <w:noProof/>
                <w:webHidden/>
              </w:rPr>
            </w:r>
            <w:r w:rsidR="00F80383">
              <w:rPr>
                <w:noProof/>
                <w:webHidden/>
              </w:rPr>
              <w:fldChar w:fldCharType="separate"/>
            </w:r>
            <w:r w:rsidR="00F80383">
              <w:rPr>
                <w:noProof/>
                <w:webHidden/>
              </w:rPr>
              <w:t>2</w:t>
            </w:r>
            <w:r w:rsidR="00F80383">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73" w:history="1">
            <w:r w:rsidRPr="008962E6">
              <w:rPr>
                <w:rStyle w:val="Lienhypertexte"/>
                <w:noProof/>
              </w:rPr>
              <w:t>Biogaz</w:t>
            </w:r>
            <w:r>
              <w:rPr>
                <w:noProof/>
                <w:webHidden/>
              </w:rPr>
              <w:tab/>
            </w:r>
            <w:r>
              <w:rPr>
                <w:noProof/>
                <w:webHidden/>
              </w:rPr>
              <w:fldChar w:fldCharType="begin"/>
            </w:r>
            <w:r>
              <w:rPr>
                <w:noProof/>
                <w:webHidden/>
              </w:rPr>
              <w:instrText xml:space="preserve"> PAGEREF _Toc218523573 \h </w:instrText>
            </w:r>
            <w:r>
              <w:rPr>
                <w:noProof/>
                <w:webHidden/>
              </w:rPr>
            </w:r>
            <w:r>
              <w:rPr>
                <w:noProof/>
                <w:webHidden/>
              </w:rPr>
              <w:fldChar w:fldCharType="separate"/>
            </w:r>
            <w:r>
              <w:rPr>
                <w:noProof/>
                <w:webHidden/>
              </w:rPr>
              <w:t>2</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74" w:history="1">
            <w:r w:rsidRPr="008962E6">
              <w:rPr>
                <w:rStyle w:val="Lienhypertexte"/>
                <w:noProof/>
              </w:rPr>
              <w:t>Certification professionnelle</w:t>
            </w:r>
            <w:r>
              <w:rPr>
                <w:noProof/>
                <w:webHidden/>
              </w:rPr>
              <w:tab/>
            </w:r>
            <w:r>
              <w:rPr>
                <w:noProof/>
                <w:webHidden/>
              </w:rPr>
              <w:fldChar w:fldCharType="begin"/>
            </w:r>
            <w:r>
              <w:rPr>
                <w:noProof/>
                <w:webHidden/>
              </w:rPr>
              <w:instrText xml:space="preserve"> PAGEREF _Toc218523574 \h </w:instrText>
            </w:r>
            <w:r>
              <w:rPr>
                <w:noProof/>
                <w:webHidden/>
              </w:rPr>
            </w:r>
            <w:r>
              <w:rPr>
                <w:noProof/>
                <w:webHidden/>
              </w:rPr>
              <w:fldChar w:fldCharType="separate"/>
            </w:r>
            <w:r>
              <w:rPr>
                <w:noProof/>
                <w:webHidden/>
              </w:rPr>
              <w:t>2</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75" w:history="1">
            <w:r w:rsidRPr="008962E6">
              <w:rPr>
                <w:rStyle w:val="Lienhypertexte"/>
                <w:noProof/>
              </w:rPr>
              <w:t>Certificats d’économies d’énergie</w:t>
            </w:r>
            <w:r>
              <w:rPr>
                <w:noProof/>
                <w:webHidden/>
              </w:rPr>
              <w:tab/>
            </w:r>
            <w:r>
              <w:rPr>
                <w:noProof/>
                <w:webHidden/>
              </w:rPr>
              <w:fldChar w:fldCharType="begin"/>
            </w:r>
            <w:r>
              <w:rPr>
                <w:noProof/>
                <w:webHidden/>
              </w:rPr>
              <w:instrText xml:space="preserve"> PAGEREF _Toc218523575 \h </w:instrText>
            </w:r>
            <w:r>
              <w:rPr>
                <w:noProof/>
                <w:webHidden/>
              </w:rPr>
            </w:r>
            <w:r>
              <w:rPr>
                <w:noProof/>
                <w:webHidden/>
              </w:rPr>
              <w:fldChar w:fldCharType="separate"/>
            </w:r>
            <w:r>
              <w:rPr>
                <w:noProof/>
                <w:webHidden/>
              </w:rPr>
              <w:t>3</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76" w:history="1">
            <w:r w:rsidRPr="008962E6">
              <w:rPr>
                <w:rStyle w:val="Lienhypertexte"/>
                <w:noProof/>
              </w:rPr>
              <w:t>Directive Efficacité Energétique</w:t>
            </w:r>
            <w:r>
              <w:rPr>
                <w:noProof/>
                <w:webHidden/>
              </w:rPr>
              <w:tab/>
            </w:r>
            <w:r>
              <w:rPr>
                <w:noProof/>
                <w:webHidden/>
              </w:rPr>
              <w:fldChar w:fldCharType="begin"/>
            </w:r>
            <w:r>
              <w:rPr>
                <w:noProof/>
                <w:webHidden/>
              </w:rPr>
              <w:instrText xml:space="preserve"> PAGEREF _Toc218523576 \h </w:instrText>
            </w:r>
            <w:r>
              <w:rPr>
                <w:noProof/>
                <w:webHidden/>
              </w:rPr>
            </w:r>
            <w:r>
              <w:rPr>
                <w:noProof/>
                <w:webHidden/>
              </w:rPr>
              <w:fldChar w:fldCharType="separate"/>
            </w:r>
            <w:r>
              <w:rPr>
                <w:noProof/>
                <w:webHidden/>
              </w:rPr>
              <w:t>5</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77" w:history="1">
            <w:r w:rsidRPr="008962E6">
              <w:rPr>
                <w:rStyle w:val="Lienhypertexte"/>
                <w:noProof/>
              </w:rPr>
              <w:t>Emissions de gaz à effet de serre</w:t>
            </w:r>
            <w:r>
              <w:rPr>
                <w:noProof/>
                <w:webHidden/>
              </w:rPr>
              <w:tab/>
            </w:r>
            <w:r>
              <w:rPr>
                <w:noProof/>
                <w:webHidden/>
              </w:rPr>
              <w:fldChar w:fldCharType="begin"/>
            </w:r>
            <w:r>
              <w:rPr>
                <w:noProof/>
                <w:webHidden/>
              </w:rPr>
              <w:instrText xml:space="preserve"> PAGEREF _Toc218523577 \h </w:instrText>
            </w:r>
            <w:r>
              <w:rPr>
                <w:noProof/>
                <w:webHidden/>
              </w:rPr>
            </w:r>
            <w:r>
              <w:rPr>
                <w:noProof/>
                <w:webHidden/>
              </w:rPr>
              <w:fldChar w:fldCharType="separate"/>
            </w:r>
            <w:r>
              <w:rPr>
                <w:noProof/>
                <w:webHidden/>
              </w:rPr>
              <w:t>5</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78" w:history="1">
            <w:r w:rsidRPr="008962E6">
              <w:rPr>
                <w:rStyle w:val="Lienhypertexte"/>
                <w:noProof/>
              </w:rPr>
              <w:t>Energie hydraulique</w:t>
            </w:r>
            <w:r>
              <w:rPr>
                <w:noProof/>
                <w:webHidden/>
              </w:rPr>
              <w:tab/>
            </w:r>
            <w:r>
              <w:rPr>
                <w:noProof/>
                <w:webHidden/>
              </w:rPr>
              <w:fldChar w:fldCharType="begin"/>
            </w:r>
            <w:r>
              <w:rPr>
                <w:noProof/>
                <w:webHidden/>
              </w:rPr>
              <w:instrText xml:space="preserve"> PAGEREF _Toc218523578 \h </w:instrText>
            </w:r>
            <w:r>
              <w:rPr>
                <w:noProof/>
                <w:webHidden/>
              </w:rPr>
            </w:r>
            <w:r>
              <w:rPr>
                <w:noProof/>
                <w:webHidden/>
              </w:rPr>
              <w:fldChar w:fldCharType="separate"/>
            </w:r>
            <w:r>
              <w:rPr>
                <w:noProof/>
                <w:webHidden/>
              </w:rPr>
              <w:t>6</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79" w:history="1">
            <w:r w:rsidRPr="008962E6">
              <w:rPr>
                <w:rStyle w:val="Lienhypertexte"/>
                <w:noProof/>
              </w:rPr>
              <w:t>Environnement</w:t>
            </w:r>
            <w:r>
              <w:rPr>
                <w:noProof/>
                <w:webHidden/>
              </w:rPr>
              <w:tab/>
            </w:r>
            <w:r>
              <w:rPr>
                <w:noProof/>
                <w:webHidden/>
              </w:rPr>
              <w:fldChar w:fldCharType="begin"/>
            </w:r>
            <w:r>
              <w:rPr>
                <w:noProof/>
                <w:webHidden/>
              </w:rPr>
              <w:instrText xml:space="preserve"> PAGEREF _Toc218523579 \h </w:instrText>
            </w:r>
            <w:r>
              <w:rPr>
                <w:noProof/>
                <w:webHidden/>
              </w:rPr>
            </w:r>
            <w:r>
              <w:rPr>
                <w:noProof/>
                <w:webHidden/>
              </w:rPr>
              <w:fldChar w:fldCharType="separate"/>
            </w:r>
            <w:r>
              <w:rPr>
                <w:noProof/>
                <w:webHidden/>
              </w:rPr>
              <w:t>6</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0" w:history="1">
            <w:r w:rsidRPr="008962E6">
              <w:rPr>
                <w:rStyle w:val="Lienhypertexte"/>
                <w:noProof/>
              </w:rPr>
              <w:t>Géothermie</w:t>
            </w:r>
            <w:r>
              <w:rPr>
                <w:noProof/>
                <w:webHidden/>
              </w:rPr>
              <w:tab/>
            </w:r>
            <w:r>
              <w:rPr>
                <w:noProof/>
                <w:webHidden/>
              </w:rPr>
              <w:fldChar w:fldCharType="begin"/>
            </w:r>
            <w:r>
              <w:rPr>
                <w:noProof/>
                <w:webHidden/>
              </w:rPr>
              <w:instrText xml:space="preserve"> PAGEREF _Toc218523580 \h </w:instrText>
            </w:r>
            <w:r>
              <w:rPr>
                <w:noProof/>
                <w:webHidden/>
              </w:rPr>
            </w:r>
            <w:r>
              <w:rPr>
                <w:noProof/>
                <w:webHidden/>
              </w:rPr>
              <w:fldChar w:fldCharType="separate"/>
            </w:r>
            <w:r>
              <w:rPr>
                <w:noProof/>
                <w:webHidden/>
              </w:rPr>
              <w:t>7</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1" w:history="1">
            <w:r w:rsidRPr="008962E6">
              <w:rPr>
                <w:rStyle w:val="Lienhypertexte"/>
                <w:noProof/>
              </w:rPr>
              <w:t>Installations classées pour la protection de l’environnement</w:t>
            </w:r>
            <w:r>
              <w:rPr>
                <w:noProof/>
                <w:webHidden/>
              </w:rPr>
              <w:tab/>
            </w:r>
            <w:r>
              <w:rPr>
                <w:noProof/>
                <w:webHidden/>
              </w:rPr>
              <w:fldChar w:fldCharType="begin"/>
            </w:r>
            <w:r>
              <w:rPr>
                <w:noProof/>
                <w:webHidden/>
              </w:rPr>
              <w:instrText xml:space="preserve"> PAGEREF _Toc218523581 \h </w:instrText>
            </w:r>
            <w:r>
              <w:rPr>
                <w:noProof/>
                <w:webHidden/>
              </w:rPr>
            </w:r>
            <w:r>
              <w:rPr>
                <w:noProof/>
                <w:webHidden/>
              </w:rPr>
              <w:fldChar w:fldCharType="separate"/>
            </w:r>
            <w:r>
              <w:rPr>
                <w:noProof/>
                <w:webHidden/>
              </w:rPr>
              <w:t>7</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2" w:history="1">
            <w:r w:rsidRPr="008962E6">
              <w:rPr>
                <w:rStyle w:val="Lienhypertexte"/>
                <w:noProof/>
              </w:rPr>
              <w:t>Institut national de l’environnement industriel</w:t>
            </w:r>
            <w:r>
              <w:rPr>
                <w:noProof/>
                <w:webHidden/>
              </w:rPr>
              <w:tab/>
            </w:r>
            <w:r>
              <w:rPr>
                <w:noProof/>
                <w:webHidden/>
              </w:rPr>
              <w:fldChar w:fldCharType="begin"/>
            </w:r>
            <w:r>
              <w:rPr>
                <w:noProof/>
                <w:webHidden/>
              </w:rPr>
              <w:instrText xml:space="preserve"> PAGEREF _Toc218523582 \h </w:instrText>
            </w:r>
            <w:r>
              <w:rPr>
                <w:noProof/>
                <w:webHidden/>
              </w:rPr>
            </w:r>
            <w:r>
              <w:rPr>
                <w:noProof/>
                <w:webHidden/>
              </w:rPr>
              <w:fldChar w:fldCharType="separate"/>
            </w:r>
            <w:r>
              <w:rPr>
                <w:noProof/>
                <w:webHidden/>
              </w:rPr>
              <w:t>7</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3" w:history="1">
            <w:r w:rsidRPr="008962E6">
              <w:rPr>
                <w:rStyle w:val="Lienhypertexte"/>
                <w:noProof/>
              </w:rPr>
              <w:t>Loi spéciale relative aux lois de finances</w:t>
            </w:r>
            <w:r>
              <w:rPr>
                <w:noProof/>
                <w:webHidden/>
              </w:rPr>
              <w:tab/>
            </w:r>
            <w:r>
              <w:rPr>
                <w:noProof/>
                <w:webHidden/>
              </w:rPr>
              <w:fldChar w:fldCharType="begin"/>
            </w:r>
            <w:r>
              <w:rPr>
                <w:noProof/>
                <w:webHidden/>
              </w:rPr>
              <w:instrText xml:space="preserve"> PAGEREF _Toc218523583 \h </w:instrText>
            </w:r>
            <w:r>
              <w:rPr>
                <w:noProof/>
                <w:webHidden/>
              </w:rPr>
            </w:r>
            <w:r>
              <w:rPr>
                <w:noProof/>
                <w:webHidden/>
              </w:rPr>
              <w:fldChar w:fldCharType="separate"/>
            </w:r>
            <w:r>
              <w:rPr>
                <w:noProof/>
                <w:webHidden/>
              </w:rPr>
              <w:t>8</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4" w:history="1">
            <w:r w:rsidRPr="008962E6">
              <w:rPr>
                <w:rStyle w:val="Lienhypertexte"/>
                <w:noProof/>
              </w:rPr>
              <w:t>Performance énergétique des bâtiments</w:t>
            </w:r>
            <w:r>
              <w:rPr>
                <w:noProof/>
                <w:webHidden/>
              </w:rPr>
              <w:tab/>
            </w:r>
            <w:r>
              <w:rPr>
                <w:noProof/>
                <w:webHidden/>
              </w:rPr>
              <w:fldChar w:fldCharType="begin"/>
            </w:r>
            <w:r>
              <w:rPr>
                <w:noProof/>
                <w:webHidden/>
              </w:rPr>
              <w:instrText xml:space="preserve"> PAGEREF _Toc218523584 \h </w:instrText>
            </w:r>
            <w:r>
              <w:rPr>
                <w:noProof/>
                <w:webHidden/>
              </w:rPr>
            </w:r>
            <w:r>
              <w:rPr>
                <w:noProof/>
                <w:webHidden/>
              </w:rPr>
              <w:fldChar w:fldCharType="separate"/>
            </w:r>
            <w:r>
              <w:rPr>
                <w:noProof/>
                <w:webHidden/>
              </w:rPr>
              <w:t>8</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5" w:history="1">
            <w:r w:rsidRPr="008962E6">
              <w:rPr>
                <w:rStyle w:val="Lienhypertexte"/>
                <w:noProof/>
              </w:rPr>
              <w:t>Performance énergétique des logements anciens</w:t>
            </w:r>
            <w:r>
              <w:rPr>
                <w:noProof/>
                <w:webHidden/>
              </w:rPr>
              <w:tab/>
            </w:r>
            <w:r>
              <w:rPr>
                <w:noProof/>
                <w:webHidden/>
              </w:rPr>
              <w:fldChar w:fldCharType="begin"/>
            </w:r>
            <w:r>
              <w:rPr>
                <w:noProof/>
                <w:webHidden/>
              </w:rPr>
              <w:instrText xml:space="preserve"> PAGEREF _Toc218523585 \h </w:instrText>
            </w:r>
            <w:r>
              <w:rPr>
                <w:noProof/>
                <w:webHidden/>
              </w:rPr>
            </w:r>
            <w:r>
              <w:rPr>
                <w:noProof/>
                <w:webHidden/>
              </w:rPr>
              <w:fldChar w:fldCharType="separate"/>
            </w:r>
            <w:r>
              <w:rPr>
                <w:noProof/>
                <w:webHidden/>
              </w:rPr>
              <w:t>8</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6" w:history="1">
            <w:r w:rsidRPr="008962E6">
              <w:rPr>
                <w:rStyle w:val="Lienhypertexte"/>
                <w:noProof/>
              </w:rPr>
              <w:t>Recensement de la population</w:t>
            </w:r>
            <w:r>
              <w:rPr>
                <w:noProof/>
                <w:webHidden/>
              </w:rPr>
              <w:tab/>
            </w:r>
            <w:r>
              <w:rPr>
                <w:noProof/>
                <w:webHidden/>
              </w:rPr>
              <w:fldChar w:fldCharType="begin"/>
            </w:r>
            <w:r>
              <w:rPr>
                <w:noProof/>
                <w:webHidden/>
              </w:rPr>
              <w:instrText xml:space="preserve"> PAGEREF _Toc218523586 \h </w:instrText>
            </w:r>
            <w:r>
              <w:rPr>
                <w:noProof/>
                <w:webHidden/>
              </w:rPr>
            </w:r>
            <w:r>
              <w:rPr>
                <w:noProof/>
                <w:webHidden/>
              </w:rPr>
              <w:fldChar w:fldCharType="separate"/>
            </w:r>
            <w:r>
              <w:rPr>
                <w:noProof/>
                <w:webHidden/>
              </w:rPr>
              <w:t>8</w:t>
            </w:r>
            <w:r>
              <w:rPr>
                <w:noProof/>
                <w:webHidden/>
              </w:rPr>
              <w:fldChar w:fldCharType="end"/>
            </w:r>
          </w:hyperlink>
        </w:p>
        <w:p w:rsidR="00F80383" w:rsidRDefault="00F80383">
          <w:pPr>
            <w:pStyle w:val="TM1"/>
            <w:tabs>
              <w:tab w:val="right" w:leader="dot" w:pos="9062"/>
            </w:tabs>
            <w:rPr>
              <w:rFonts w:eastAsiaTheme="minorEastAsia"/>
              <w:noProof/>
              <w:lang w:eastAsia="fr-FR"/>
            </w:rPr>
          </w:pPr>
          <w:hyperlink w:anchor="_Toc218523587" w:history="1">
            <w:r w:rsidRPr="008962E6">
              <w:rPr>
                <w:rStyle w:val="Lienhypertexte"/>
                <w:noProof/>
              </w:rPr>
              <w:t>Transport maritime</w:t>
            </w:r>
            <w:r>
              <w:rPr>
                <w:noProof/>
                <w:webHidden/>
              </w:rPr>
              <w:tab/>
            </w:r>
            <w:r>
              <w:rPr>
                <w:noProof/>
                <w:webHidden/>
              </w:rPr>
              <w:fldChar w:fldCharType="begin"/>
            </w:r>
            <w:r>
              <w:rPr>
                <w:noProof/>
                <w:webHidden/>
              </w:rPr>
              <w:instrText xml:space="preserve"> PAGEREF _Toc218523587 \h </w:instrText>
            </w:r>
            <w:r>
              <w:rPr>
                <w:noProof/>
                <w:webHidden/>
              </w:rPr>
            </w:r>
            <w:r>
              <w:rPr>
                <w:noProof/>
                <w:webHidden/>
              </w:rPr>
              <w:fldChar w:fldCharType="separate"/>
            </w:r>
            <w:r>
              <w:rPr>
                <w:noProof/>
                <w:webHidden/>
              </w:rPr>
              <w:t>9</w:t>
            </w:r>
            <w:r>
              <w:rPr>
                <w:noProof/>
                <w:webHidden/>
              </w:rPr>
              <w:fldChar w:fldCharType="end"/>
            </w:r>
          </w:hyperlink>
        </w:p>
        <w:p w:rsidR="00481309" w:rsidRDefault="00481309">
          <w:r>
            <w:rPr>
              <w:b/>
              <w:bCs/>
            </w:rPr>
            <w:fldChar w:fldCharType="end"/>
          </w:r>
        </w:p>
      </w:sdtContent>
    </w:sdt>
    <w:p w:rsidR="00A84207" w:rsidRDefault="00A84207">
      <w:pPr>
        <w:spacing w:after="160" w:line="259" w:lineRule="auto"/>
        <w:rPr>
          <w:rFonts w:ascii="Calibri" w:hAnsi="Calibri"/>
          <w:szCs w:val="21"/>
        </w:rPr>
      </w:pPr>
      <w:r>
        <w:br w:type="page"/>
      </w:r>
    </w:p>
    <w:p w:rsidR="001560E5" w:rsidRDefault="001560E5" w:rsidP="001560E5">
      <w:pPr>
        <w:pStyle w:val="Titre1"/>
      </w:pPr>
      <w:bookmarkStart w:id="1" w:name="_Toc218523572"/>
      <w:r>
        <w:lastRenderedPageBreak/>
        <w:t>Aides de minimis</w:t>
      </w:r>
      <w:bookmarkEnd w:id="1"/>
    </w:p>
    <w:p w:rsidR="001560E5" w:rsidRDefault="001560E5" w:rsidP="00FF1864">
      <w:pPr>
        <w:pStyle w:val="Textebrut"/>
        <w:jc w:val="both"/>
      </w:pPr>
    </w:p>
    <w:p w:rsidR="001560E5" w:rsidRPr="001560E5" w:rsidRDefault="001560E5" w:rsidP="001560E5">
      <w:pPr>
        <w:pStyle w:val="Textebrut"/>
        <w:pBdr>
          <w:left w:val="single" w:sz="4" w:space="4" w:color="auto"/>
        </w:pBdr>
        <w:jc w:val="both"/>
        <w:rPr>
          <w:b/>
        </w:rPr>
      </w:pPr>
      <w:r w:rsidRPr="001560E5">
        <w:rPr>
          <w:b/>
        </w:rPr>
        <w:sym w:font="Wingdings" w:char="F0E8"/>
      </w:r>
      <w:r w:rsidRPr="001560E5">
        <w:rPr>
          <w:b/>
        </w:rPr>
        <w:t xml:space="preserve"> C</w:t>
      </w:r>
      <w:r w:rsidRPr="001560E5">
        <w:rPr>
          <w:b/>
        </w:rPr>
        <w:t>hoix de la plateforme relative aux aides d’Etat valant support du registre national des aides dites « de minimis »</w:t>
      </w:r>
    </w:p>
    <w:p w:rsidR="001560E5" w:rsidRDefault="001560E5" w:rsidP="001560E5">
      <w:pPr>
        <w:pStyle w:val="Textebrut"/>
        <w:pBdr>
          <w:left w:val="single" w:sz="4" w:space="4" w:color="auto"/>
        </w:pBdr>
        <w:jc w:val="both"/>
      </w:pPr>
    </w:p>
    <w:p w:rsidR="002B2D22" w:rsidRPr="001560E5" w:rsidRDefault="001560E5" w:rsidP="001560E5">
      <w:pPr>
        <w:pStyle w:val="Textebrut"/>
        <w:pBdr>
          <w:left w:val="single" w:sz="4" w:space="4" w:color="auto"/>
        </w:pBdr>
        <w:jc w:val="both"/>
        <w:rPr>
          <w:i/>
        </w:rPr>
      </w:pPr>
      <w:hyperlink r:id="rId9" w:history="1">
        <w:r w:rsidR="002B2D22" w:rsidRPr="001560E5">
          <w:rPr>
            <w:rStyle w:val="Lienhypertexte"/>
            <w:b/>
            <w:i/>
            <w:color w:val="auto"/>
          </w:rPr>
          <w:t>Décret n° 2025-1361 du 26 décembre 2025</w:t>
        </w:r>
        <w:r w:rsidR="002B2D22" w:rsidRPr="001560E5">
          <w:rPr>
            <w:rStyle w:val="Lienhypertexte"/>
            <w:i/>
            <w:color w:val="auto"/>
          </w:rPr>
          <w:t xml:space="preserve"> relatif au registre national sur les aides de minimis</w:t>
        </w:r>
      </w:hyperlink>
    </w:p>
    <w:p w:rsidR="00717478" w:rsidRDefault="00717478" w:rsidP="00FF1864">
      <w:pPr>
        <w:pStyle w:val="Textebrut"/>
        <w:jc w:val="both"/>
      </w:pPr>
    </w:p>
    <w:p w:rsidR="00FE620C" w:rsidRDefault="00FE620C" w:rsidP="00FF1864">
      <w:pPr>
        <w:pStyle w:val="Textebrut"/>
        <w:jc w:val="both"/>
      </w:pPr>
    </w:p>
    <w:p w:rsidR="00717478" w:rsidRDefault="00717478" w:rsidP="00FF1864">
      <w:pPr>
        <w:pStyle w:val="Textebrut"/>
        <w:jc w:val="both"/>
      </w:pPr>
    </w:p>
    <w:p w:rsidR="00347591" w:rsidRDefault="00347591" w:rsidP="00347591">
      <w:pPr>
        <w:pStyle w:val="Titre1"/>
      </w:pPr>
      <w:bookmarkStart w:id="2" w:name="_Toc218523573"/>
      <w:r>
        <w:t>Biogaz</w:t>
      </w:r>
      <w:bookmarkEnd w:id="2"/>
    </w:p>
    <w:p w:rsidR="00347591" w:rsidRDefault="00347591" w:rsidP="00347591">
      <w:pPr>
        <w:jc w:val="both"/>
      </w:pPr>
    </w:p>
    <w:p w:rsidR="00347591" w:rsidRPr="00845A70" w:rsidRDefault="00347591" w:rsidP="00347591">
      <w:pPr>
        <w:pBdr>
          <w:left w:val="single" w:sz="4" w:space="4" w:color="auto"/>
        </w:pBdr>
        <w:jc w:val="both"/>
        <w:rPr>
          <w:b/>
        </w:rPr>
      </w:pPr>
      <w:r w:rsidRPr="00845A70">
        <w:rPr>
          <w:b/>
        </w:rPr>
        <w:sym w:font="Wingdings" w:char="F0E8"/>
      </w:r>
      <w:r w:rsidRPr="00845A70">
        <w:rPr>
          <w:b/>
        </w:rPr>
        <w:t xml:space="preserve"> Dispositif d’aide au renforcement des réseaux de transport et de distribution de gaz naturel pour permettre l’injection du biogaz</w:t>
      </w:r>
    </w:p>
    <w:p w:rsidR="00347591" w:rsidRDefault="00347591" w:rsidP="00347591">
      <w:pPr>
        <w:pBdr>
          <w:left w:val="single" w:sz="4" w:space="4" w:color="auto"/>
        </w:pBdr>
        <w:jc w:val="both"/>
      </w:pPr>
    </w:p>
    <w:p w:rsidR="00347591" w:rsidRDefault="00347591" w:rsidP="00347591">
      <w:pPr>
        <w:pBdr>
          <w:left w:val="single" w:sz="4" w:space="4" w:color="auto"/>
        </w:pBdr>
        <w:jc w:val="both"/>
      </w:pPr>
      <w:r>
        <w:t xml:space="preserve">Le dispositif d’aide au renforcement des réseaux gaziers établit le dépôt d’un dossier ICPE par le porteur d’un projet d’installation de production de biogaz comme l’une des conditions nécessaires à la validation d’un projet de renforcement des réseaux. </w:t>
      </w:r>
    </w:p>
    <w:p w:rsidR="00347591" w:rsidRDefault="00347591" w:rsidP="00347591">
      <w:pPr>
        <w:pBdr>
          <w:left w:val="single" w:sz="4" w:space="4" w:color="auto"/>
        </w:pBdr>
        <w:jc w:val="both"/>
      </w:pPr>
    </w:p>
    <w:p w:rsidR="00347591" w:rsidRDefault="00347591" w:rsidP="00347591">
      <w:pPr>
        <w:pBdr>
          <w:left w:val="single" w:sz="4" w:space="4" w:color="auto"/>
        </w:pBdr>
        <w:jc w:val="both"/>
      </w:pPr>
      <w:r>
        <w:t>Le texte prévoit de remplacer cette condition par la constitution d’une garantie financière si certains éléments principaux nécessaires à la production de biogaz existent d’ores et déjà à la date de demande de l’étude de raccordement.</w:t>
      </w:r>
    </w:p>
    <w:p w:rsidR="00347591" w:rsidRDefault="00347591" w:rsidP="00347591">
      <w:pPr>
        <w:pBdr>
          <w:left w:val="single" w:sz="4" w:space="4" w:color="auto"/>
        </w:pBdr>
        <w:jc w:val="both"/>
      </w:pPr>
    </w:p>
    <w:p w:rsidR="00347591" w:rsidRPr="00597FBD" w:rsidRDefault="00347591" w:rsidP="00347591">
      <w:pPr>
        <w:pStyle w:val="Textebrut"/>
        <w:pBdr>
          <w:left w:val="single" w:sz="4" w:space="4" w:color="auto"/>
        </w:pBdr>
        <w:jc w:val="both"/>
        <w:rPr>
          <w:i/>
        </w:rPr>
      </w:pPr>
      <w:hyperlink r:id="rId10" w:history="1">
        <w:r w:rsidRPr="00597FBD">
          <w:rPr>
            <w:rStyle w:val="Lienhypertexte"/>
            <w:b/>
            <w:i/>
            <w:color w:val="auto"/>
          </w:rPr>
          <w:t>Décret n° 2025-1360 du 26 décembre 2025</w:t>
        </w:r>
        <w:r w:rsidRPr="00597FBD">
          <w:rPr>
            <w:rStyle w:val="Lienhypertexte"/>
            <w:i/>
            <w:color w:val="auto"/>
          </w:rPr>
          <w:t xml:space="preserve"> modifiant le dispositif d'aide au renforcement des réseaux de transport et de distribution de gaz naturel nécessaires pour permettre l'injection du biogaz produit</w:t>
        </w:r>
      </w:hyperlink>
    </w:p>
    <w:p w:rsidR="00347591" w:rsidRDefault="00347591" w:rsidP="00347591">
      <w:pPr>
        <w:pStyle w:val="Textebrut"/>
        <w:jc w:val="both"/>
      </w:pPr>
    </w:p>
    <w:p w:rsidR="00347591" w:rsidRDefault="00347591" w:rsidP="00347591">
      <w:pPr>
        <w:pStyle w:val="Textebrut"/>
        <w:jc w:val="both"/>
      </w:pPr>
    </w:p>
    <w:p w:rsidR="00347591" w:rsidRDefault="00347591" w:rsidP="00347591">
      <w:pPr>
        <w:pStyle w:val="Textebrut"/>
        <w:jc w:val="both"/>
      </w:pPr>
    </w:p>
    <w:p w:rsidR="00347591" w:rsidRPr="00A27679" w:rsidRDefault="00347591" w:rsidP="00347591">
      <w:pPr>
        <w:pStyle w:val="Textebrut"/>
        <w:pBdr>
          <w:left w:val="single" w:sz="4" w:space="4" w:color="auto"/>
        </w:pBdr>
        <w:jc w:val="both"/>
        <w:rPr>
          <w:b/>
        </w:rPr>
      </w:pPr>
      <w:r w:rsidRPr="00A27679">
        <w:rPr>
          <w:b/>
        </w:rPr>
        <w:sym w:font="Wingdings" w:char="F0E8"/>
      </w:r>
      <w:r w:rsidRPr="00A27679">
        <w:rPr>
          <w:b/>
        </w:rPr>
        <w:t xml:space="preserve"> Modalités d’application du dispositif de certificats de production de biogaz injecté dans les réseaux de gaz naturel</w:t>
      </w:r>
    </w:p>
    <w:p w:rsidR="00347591" w:rsidRDefault="00347591" w:rsidP="00347591">
      <w:pPr>
        <w:pStyle w:val="Textebrut"/>
        <w:pBdr>
          <w:left w:val="single" w:sz="4" w:space="4" w:color="auto"/>
        </w:pBdr>
        <w:jc w:val="both"/>
      </w:pPr>
    </w:p>
    <w:p w:rsidR="00347591" w:rsidRPr="00D8438E" w:rsidRDefault="00347591" w:rsidP="00347591">
      <w:pPr>
        <w:pStyle w:val="Textebrut"/>
        <w:pBdr>
          <w:left w:val="single" w:sz="4" w:space="4" w:color="auto"/>
        </w:pBdr>
        <w:jc w:val="both"/>
        <w:rPr>
          <w:i/>
        </w:rPr>
      </w:pPr>
      <w:hyperlink r:id="rId11" w:history="1">
        <w:r w:rsidRPr="00D8438E">
          <w:rPr>
            <w:rStyle w:val="Lienhypertexte"/>
            <w:b/>
            <w:i/>
            <w:color w:val="auto"/>
          </w:rPr>
          <w:t>Arrêté du 26 décembre 2025</w:t>
        </w:r>
        <w:r w:rsidRPr="00D8438E">
          <w:rPr>
            <w:rStyle w:val="Lienhypertexte"/>
            <w:i/>
            <w:color w:val="auto"/>
          </w:rPr>
          <w:t xml:space="preserve"> modifiant l'arrêté du 6 juillet 2024 relatif au dispositif de certificats de production de biogaz</w:t>
        </w:r>
      </w:hyperlink>
    </w:p>
    <w:p w:rsidR="00347591" w:rsidRDefault="00347591" w:rsidP="00347591">
      <w:pPr>
        <w:pStyle w:val="Textebrut"/>
        <w:jc w:val="both"/>
      </w:pPr>
    </w:p>
    <w:p w:rsidR="000E6286" w:rsidRPr="000E6286" w:rsidRDefault="000E6286" w:rsidP="000E6286">
      <w:pPr>
        <w:jc w:val="both"/>
      </w:pPr>
    </w:p>
    <w:p w:rsidR="00717478" w:rsidRDefault="00717478" w:rsidP="00FF1864">
      <w:pPr>
        <w:pStyle w:val="Textebrut"/>
        <w:jc w:val="both"/>
      </w:pPr>
    </w:p>
    <w:p w:rsidR="000E6286" w:rsidRDefault="000E6286" w:rsidP="000E6286">
      <w:pPr>
        <w:pStyle w:val="Titre1"/>
      </w:pPr>
      <w:bookmarkStart w:id="3" w:name="_Toc218523574"/>
      <w:r>
        <w:t>Certification professionnelle</w:t>
      </w:r>
      <w:bookmarkEnd w:id="3"/>
    </w:p>
    <w:p w:rsidR="000E6286" w:rsidRDefault="000E6286" w:rsidP="000E6286">
      <w:pPr>
        <w:jc w:val="both"/>
      </w:pPr>
    </w:p>
    <w:p w:rsidR="000E6286" w:rsidRPr="0032730B" w:rsidRDefault="000E6286" w:rsidP="000E6286">
      <w:pPr>
        <w:pBdr>
          <w:left w:val="single" w:sz="4" w:space="4" w:color="auto"/>
        </w:pBdr>
        <w:jc w:val="both"/>
        <w:rPr>
          <w:b/>
        </w:rPr>
      </w:pPr>
      <w:r w:rsidRPr="0032730B">
        <w:rPr>
          <w:b/>
        </w:rPr>
        <w:sym w:font="Wingdings" w:char="F0E8"/>
      </w:r>
      <w:r w:rsidRPr="0032730B">
        <w:rPr>
          <w:b/>
        </w:rPr>
        <w:t xml:space="preserve"> Le titre professionnel de </w:t>
      </w:r>
      <w:proofErr w:type="gramStart"/>
      <w:r w:rsidRPr="0032730B">
        <w:rPr>
          <w:b/>
        </w:rPr>
        <w:t>chargé</w:t>
      </w:r>
      <w:proofErr w:type="gramEnd"/>
      <w:r w:rsidRPr="0032730B">
        <w:rPr>
          <w:b/>
        </w:rPr>
        <w:t xml:space="preserve"> de travaux en réseaux électriques aériens et souterrains est enregistré dans le répertoire national des certifications professionnelles</w:t>
      </w:r>
    </w:p>
    <w:p w:rsidR="000E6286" w:rsidRDefault="000E6286" w:rsidP="000E6286">
      <w:pPr>
        <w:pBdr>
          <w:left w:val="single" w:sz="4" w:space="4" w:color="auto"/>
        </w:pBdr>
        <w:jc w:val="both"/>
      </w:pPr>
    </w:p>
    <w:p w:rsidR="000E6286" w:rsidRPr="0032730B" w:rsidRDefault="000E6286" w:rsidP="000E6286">
      <w:pPr>
        <w:pStyle w:val="Textebrut"/>
        <w:pBdr>
          <w:left w:val="single" w:sz="4" w:space="4" w:color="auto"/>
        </w:pBdr>
        <w:jc w:val="both"/>
        <w:rPr>
          <w:i/>
          <w:color w:val="000000" w:themeColor="text1"/>
        </w:rPr>
      </w:pPr>
      <w:hyperlink r:id="rId12" w:history="1">
        <w:r w:rsidRPr="0032730B">
          <w:rPr>
            <w:rStyle w:val="Lienhypertexte"/>
            <w:b/>
            <w:i/>
            <w:color w:val="000000" w:themeColor="text1"/>
          </w:rPr>
          <w:t>Arrêté du 11 décembre 2025</w:t>
        </w:r>
        <w:r w:rsidRPr="0032730B">
          <w:rPr>
            <w:rStyle w:val="Lienhypertexte"/>
            <w:i/>
            <w:color w:val="000000" w:themeColor="text1"/>
          </w:rPr>
          <w:t xml:space="preserve"> relatif au titre professionnel de </w:t>
        </w:r>
        <w:proofErr w:type="gramStart"/>
        <w:r w:rsidRPr="0032730B">
          <w:rPr>
            <w:rStyle w:val="Lienhypertexte"/>
            <w:i/>
            <w:color w:val="000000" w:themeColor="text1"/>
          </w:rPr>
          <w:t>chargé</w:t>
        </w:r>
        <w:proofErr w:type="gramEnd"/>
        <w:r w:rsidRPr="0032730B">
          <w:rPr>
            <w:rStyle w:val="Lienhypertexte"/>
            <w:i/>
            <w:color w:val="000000" w:themeColor="text1"/>
          </w:rPr>
          <w:t xml:space="preserve"> de travaux en réseaux électriques aériens et souterrains</w:t>
        </w:r>
      </w:hyperlink>
    </w:p>
    <w:p w:rsidR="000E6286" w:rsidRDefault="000E6286" w:rsidP="000E6286">
      <w:pPr>
        <w:pStyle w:val="Textebrut"/>
        <w:jc w:val="both"/>
      </w:pPr>
    </w:p>
    <w:p w:rsidR="000E6286" w:rsidRDefault="000E6286" w:rsidP="000E6286">
      <w:pPr>
        <w:pStyle w:val="Textebrut"/>
        <w:jc w:val="both"/>
      </w:pPr>
    </w:p>
    <w:p w:rsidR="000E6286" w:rsidRDefault="000E6286" w:rsidP="000E6286">
      <w:pPr>
        <w:pStyle w:val="Textebrut"/>
        <w:jc w:val="both"/>
      </w:pPr>
    </w:p>
    <w:p w:rsidR="000E6286" w:rsidRPr="00114B69" w:rsidRDefault="000E6286" w:rsidP="000E6286">
      <w:pPr>
        <w:pStyle w:val="Textebrut"/>
        <w:pBdr>
          <w:left w:val="single" w:sz="4" w:space="4" w:color="auto"/>
        </w:pBdr>
        <w:jc w:val="both"/>
        <w:rPr>
          <w:b/>
        </w:rPr>
      </w:pPr>
      <w:r w:rsidRPr="00114B69">
        <w:rPr>
          <w:b/>
        </w:rPr>
        <w:sym w:font="Wingdings" w:char="F0E8"/>
      </w:r>
      <w:r w:rsidRPr="00114B69">
        <w:rPr>
          <w:b/>
        </w:rPr>
        <w:t xml:space="preserve"> Le titre professionnel de menuisier de fabrication bois et dérivés est enregistré dans le répertoire national des certifications professionnelles</w:t>
      </w:r>
    </w:p>
    <w:p w:rsidR="000E6286" w:rsidRDefault="000E6286" w:rsidP="000E6286">
      <w:pPr>
        <w:pBdr>
          <w:left w:val="single" w:sz="4" w:space="4" w:color="auto"/>
        </w:pBdr>
        <w:jc w:val="both"/>
      </w:pPr>
    </w:p>
    <w:p w:rsidR="000E6286" w:rsidRPr="00AA77E4" w:rsidRDefault="000E6286" w:rsidP="000E6286">
      <w:pPr>
        <w:pStyle w:val="Textebrut"/>
        <w:pBdr>
          <w:left w:val="single" w:sz="4" w:space="4" w:color="auto"/>
        </w:pBdr>
        <w:jc w:val="both"/>
        <w:rPr>
          <w:i/>
          <w:color w:val="000000" w:themeColor="text1"/>
        </w:rPr>
      </w:pPr>
      <w:hyperlink r:id="rId13" w:history="1">
        <w:r w:rsidRPr="00AA77E4">
          <w:rPr>
            <w:rStyle w:val="Lienhypertexte"/>
            <w:b/>
            <w:i/>
            <w:color w:val="000000" w:themeColor="text1"/>
          </w:rPr>
          <w:t>Arrêté du 11 décembre 2025</w:t>
        </w:r>
        <w:r w:rsidRPr="00AA77E4">
          <w:rPr>
            <w:rStyle w:val="Lienhypertexte"/>
            <w:i/>
            <w:color w:val="000000" w:themeColor="text1"/>
          </w:rPr>
          <w:t xml:space="preserve"> relatif au titre professionnel de menuisier de fabrication bois et dérivés</w:t>
        </w:r>
      </w:hyperlink>
    </w:p>
    <w:p w:rsidR="000E6286" w:rsidRDefault="000E6286" w:rsidP="000E6286">
      <w:pPr>
        <w:pStyle w:val="Textebrut"/>
        <w:jc w:val="both"/>
      </w:pPr>
    </w:p>
    <w:p w:rsidR="000E6286" w:rsidRDefault="000E6286" w:rsidP="000E6286">
      <w:pPr>
        <w:pStyle w:val="Textebrut"/>
        <w:jc w:val="both"/>
      </w:pPr>
    </w:p>
    <w:p w:rsidR="000E6286" w:rsidRDefault="000E6286" w:rsidP="000E6286">
      <w:pPr>
        <w:pStyle w:val="Textebrut"/>
        <w:jc w:val="both"/>
      </w:pPr>
    </w:p>
    <w:p w:rsidR="000E6286" w:rsidRPr="00114B69" w:rsidRDefault="000E6286" w:rsidP="000E6286">
      <w:pPr>
        <w:pStyle w:val="Textebrut"/>
        <w:pBdr>
          <w:left w:val="single" w:sz="4" w:space="4" w:color="auto"/>
        </w:pBdr>
        <w:jc w:val="both"/>
        <w:rPr>
          <w:b/>
        </w:rPr>
      </w:pPr>
      <w:r w:rsidRPr="00114B69">
        <w:rPr>
          <w:b/>
        </w:rPr>
        <w:sym w:font="Wingdings" w:char="F0E8"/>
      </w:r>
      <w:r w:rsidRPr="00114B69">
        <w:rPr>
          <w:b/>
        </w:rPr>
        <w:t xml:space="preserve"> Le titre professionnel de monteur de réseaux électriques </w:t>
      </w:r>
      <w:proofErr w:type="spellStart"/>
      <w:r w:rsidRPr="00114B69">
        <w:rPr>
          <w:b/>
        </w:rPr>
        <w:t>aéro</w:t>
      </w:r>
      <w:proofErr w:type="spellEnd"/>
      <w:r w:rsidRPr="00114B69">
        <w:rPr>
          <w:b/>
        </w:rPr>
        <w:t>-souterrains est enregistré dans le répertoire national des certifications professionnelles</w:t>
      </w:r>
    </w:p>
    <w:p w:rsidR="000E6286" w:rsidRDefault="000E6286" w:rsidP="000E6286">
      <w:pPr>
        <w:pStyle w:val="Textebrut"/>
        <w:pBdr>
          <w:left w:val="single" w:sz="4" w:space="4" w:color="auto"/>
        </w:pBdr>
        <w:jc w:val="both"/>
      </w:pPr>
    </w:p>
    <w:p w:rsidR="000E6286" w:rsidRPr="00114B69" w:rsidRDefault="000E6286" w:rsidP="000E6286">
      <w:pPr>
        <w:pStyle w:val="Textebrut"/>
        <w:pBdr>
          <w:left w:val="single" w:sz="4" w:space="4" w:color="auto"/>
        </w:pBdr>
        <w:jc w:val="both"/>
        <w:rPr>
          <w:i/>
          <w:color w:val="000000" w:themeColor="text1"/>
        </w:rPr>
      </w:pPr>
      <w:hyperlink r:id="rId14" w:history="1">
        <w:r w:rsidRPr="00114B69">
          <w:rPr>
            <w:rStyle w:val="Lienhypertexte"/>
            <w:b/>
            <w:i/>
            <w:color w:val="000000" w:themeColor="text1"/>
          </w:rPr>
          <w:t>Arrêté du 11 décembre 2025</w:t>
        </w:r>
        <w:r w:rsidRPr="00114B69">
          <w:rPr>
            <w:rStyle w:val="Lienhypertexte"/>
            <w:i/>
            <w:color w:val="000000" w:themeColor="text1"/>
          </w:rPr>
          <w:t xml:space="preserve"> relatif au titre professionnel de monteur de réseaux électriques </w:t>
        </w:r>
        <w:proofErr w:type="spellStart"/>
        <w:r w:rsidRPr="00114B69">
          <w:rPr>
            <w:rStyle w:val="Lienhypertexte"/>
            <w:i/>
            <w:color w:val="000000" w:themeColor="text1"/>
          </w:rPr>
          <w:t>aéro</w:t>
        </w:r>
        <w:proofErr w:type="spellEnd"/>
        <w:r w:rsidRPr="00114B69">
          <w:rPr>
            <w:rStyle w:val="Lienhypertexte"/>
            <w:i/>
            <w:color w:val="000000" w:themeColor="text1"/>
          </w:rPr>
          <w:t>-souterrains</w:t>
        </w:r>
      </w:hyperlink>
    </w:p>
    <w:p w:rsidR="000E6286" w:rsidRDefault="000E6286" w:rsidP="000E6286">
      <w:pPr>
        <w:jc w:val="both"/>
      </w:pPr>
    </w:p>
    <w:p w:rsidR="00FE620C" w:rsidRDefault="00FE620C" w:rsidP="000E6286">
      <w:pPr>
        <w:jc w:val="both"/>
      </w:pPr>
    </w:p>
    <w:p w:rsidR="000E6286" w:rsidRDefault="000E6286" w:rsidP="000E6286">
      <w:pPr>
        <w:jc w:val="both"/>
      </w:pPr>
    </w:p>
    <w:p w:rsidR="00EF29B5" w:rsidRPr="00EF29B5" w:rsidRDefault="00EF29B5" w:rsidP="00EF29B5">
      <w:pPr>
        <w:pStyle w:val="Titre1"/>
      </w:pPr>
      <w:bookmarkStart w:id="4" w:name="_Toc218523575"/>
      <w:r w:rsidRPr="00EF29B5">
        <w:t>Certificats d’économies d’énergie</w:t>
      </w:r>
      <w:bookmarkEnd w:id="4"/>
    </w:p>
    <w:p w:rsidR="00EF29B5" w:rsidRPr="00EF29B5" w:rsidRDefault="00EF29B5" w:rsidP="00EF29B5">
      <w:pPr>
        <w:jc w:val="both"/>
      </w:pPr>
    </w:p>
    <w:p w:rsidR="00EF29B5" w:rsidRPr="00EF29B5" w:rsidRDefault="00EF29B5" w:rsidP="00EF29B5">
      <w:pPr>
        <w:pBdr>
          <w:left w:val="single" w:sz="4" w:space="4" w:color="auto"/>
        </w:pBdr>
        <w:jc w:val="both"/>
        <w:rPr>
          <w:b/>
        </w:rPr>
      </w:pPr>
      <w:r w:rsidRPr="00EF29B5">
        <w:rPr>
          <w:b/>
        </w:rPr>
        <w:sym w:font="Wingdings" w:char="F0E8"/>
      </w:r>
      <w:r w:rsidRPr="00EF29B5">
        <w:rPr>
          <w:b/>
        </w:rPr>
        <w:t xml:space="preserve"> Modification des fiches d’opérations standardisées BAR-TH-171 et BAR-TH-172</w:t>
      </w:r>
    </w:p>
    <w:p w:rsidR="00EF29B5" w:rsidRPr="00EF29B5" w:rsidRDefault="00EF29B5" w:rsidP="00EF29B5">
      <w:pPr>
        <w:pBdr>
          <w:left w:val="single" w:sz="4" w:space="4" w:color="auto"/>
        </w:pBdr>
        <w:jc w:val="both"/>
      </w:pPr>
    </w:p>
    <w:p w:rsidR="00EF29B5" w:rsidRPr="00EF29B5" w:rsidRDefault="00EF29B5" w:rsidP="00EF29B5">
      <w:pPr>
        <w:pBdr>
          <w:left w:val="single" w:sz="4" w:space="4" w:color="auto"/>
        </w:pBdr>
        <w:jc w:val="both"/>
      </w:pPr>
      <w:r w:rsidRPr="00EF29B5">
        <w:t>Le présent arrêté modifie les fiches d’opérations standardisées :</w:t>
      </w:r>
    </w:p>
    <w:p w:rsidR="00EF29B5" w:rsidRPr="00EF29B5" w:rsidRDefault="00EF29B5" w:rsidP="00EF29B5">
      <w:pPr>
        <w:numPr>
          <w:ilvl w:val="0"/>
          <w:numId w:val="1"/>
        </w:numPr>
        <w:pBdr>
          <w:left w:val="single" w:sz="4" w:space="4" w:color="auto"/>
        </w:pBdr>
        <w:contextualSpacing/>
        <w:jc w:val="both"/>
      </w:pPr>
      <w:r w:rsidRPr="00EF29B5">
        <w:rPr>
          <w:b/>
        </w:rPr>
        <w:t>BAR-TH-171</w:t>
      </w:r>
      <w:r w:rsidRPr="00EF29B5">
        <w:t xml:space="preserve"> « Pompe à chaleur de type air/eau » ;</w:t>
      </w:r>
    </w:p>
    <w:p w:rsidR="00EF29B5" w:rsidRPr="00EF29B5" w:rsidRDefault="00EF29B5" w:rsidP="00EF29B5">
      <w:pPr>
        <w:numPr>
          <w:ilvl w:val="0"/>
          <w:numId w:val="1"/>
        </w:numPr>
        <w:pBdr>
          <w:left w:val="single" w:sz="4" w:space="4" w:color="auto"/>
        </w:pBdr>
        <w:contextualSpacing/>
        <w:jc w:val="both"/>
      </w:pPr>
      <w:r w:rsidRPr="00EF29B5">
        <w:rPr>
          <w:b/>
        </w:rPr>
        <w:t>BAR-TH-172</w:t>
      </w:r>
      <w:r w:rsidRPr="00EF29B5">
        <w:t xml:space="preserve"> « Pompe à chaleur de type eau/eau ou eau glycolée/eau » ;</w:t>
      </w:r>
    </w:p>
    <w:p w:rsidR="00EF29B5" w:rsidRPr="00EF29B5" w:rsidRDefault="00EF29B5" w:rsidP="00EF29B5">
      <w:pPr>
        <w:pBdr>
          <w:left w:val="single" w:sz="4" w:space="4" w:color="auto"/>
        </w:pBdr>
        <w:jc w:val="both"/>
      </w:pPr>
      <w:proofErr w:type="gramStart"/>
      <w:r w:rsidRPr="00EF29B5">
        <w:t>un</w:t>
      </w:r>
      <w:proofErr w:type="gramEnd"/>
      <w:r w:rsidRPr="00EF29B5">
        <w:t xml:space="preserve"> critère de bonification, les taux de contrôles sur site et le référentiel de contrôle associés à ces fiches. </w:t>
      </w:r>
    </w:p>
    <w:p w:rsidR="00EF29B5" w:rsidRPr="00EF29B5" w:rsidRDefault="00EF29B5" w:rsidP="00EF29B5">
      <w:pPr>
        <w:pBdr>
          <w:left w:val="single" w:sz="4" w:space="4" w:color="auto"/>
        </w:pBdr>
        <w:jc w:val="both"/>
      </w:pPr>
    </w:p>
    <w:p w:rsidR="00EF29B5" w:rsidRPr="00EF29B5" w:rsidRDefault="00EF29B5" w:rsidP="00EF29B5">
      <w:pPr>
        <w:pBdr>
          <w:left w:val="single" w:sz="4" w:space="4" w:color="auto"/>
        </w:pBdr>
        <w:jc w:val="both"/>
      </w:pPr>
      <w:r w:rsidRPr="00EF29B5">
        <w:t>Il modifie un point de contrôle des référentiels des fiches d’opérations standardisées :</w:t>
      </w:r>
    </w:p>
    <w:p w:rsidR="00EF29B5" w:rsidRPr="00EF29B5" w:rsidRDefault="00EF29B5" w:rsidP="00EF29B5">
      <w:pPr>
        <w:numPr>
          <w:ilvl w:val="0"/>
          <w:numId w:val="2"/>
        </w:numPr>
        <w:pBdr>
          <w:left w:val="single" w:sz="4" w:space="4" w:color="auto"/>
        </w:pBdr>
        <w:contextualSpacing/>
        <w:jc w:val="both"/>
      </w:pPr>
      <w:r w:rsidRPr="00EF29B5">
        <w:rPr>
          <w:b/>
        </w:rPr>
        <w:t>TRA-EQ-114</w:t>
      </w:r>
      <w:r w:rsidRPr="00EF29B5">
        <w:t> ;</w:t>
      </w:r>
    </w:p>
    <w:p w:rsidR="00EF29B5" w:rsidRPr="00EF29B5" w:rsidRDefault="00EF29B5" w:rsidP="00EF29B5">
      <w:pPr>
        <w:numPr>
          <w:ilvl w:val="0"/>
          <w:numId w:val="2"/>
        </w:numPr>
        <w:pBdr>
          <w:left w:val="single" w:sz="4" w:space="4" w:color="auto"/>
        </w:pBdr>
        <w:contextualSpacing/>
        <w:jc w:val="both"/>
      </w:pPr>
      <w:r w:rsidRPr="00EF29B5">
        <w:rPr>
          <w:b/>
        </w:rPr>
        <w:t>TRA-EQ-117</w:t>
      </w:r>
      <w:r w:rsidRPr="00EF29B5">
        <w:t> ;</w:t>
      </w:r>
    </w:p>
    <w:p w:rsidR="00EF29B5" w:rsidRPr="00EF29B5" w:rsidRDefault="00EF29B5" w:rsidP="00EF29B5">
      <w:pPr>
        <w:numPr>
          <w:ilvl w:val="0"/>
          <w:numId w:val="2"/>
        </w:numPr>
        <w:pBdr>
          <w:left w:val="single" w:sz="4" w:space="4" w:color="auto"/>
        </w:pBdr>
        <w:contextualSpacing/>
        <w:jc w:val="both"/>
      </w:pPr>
      <w:r w:rsidRPr="00EF29B5">
        <w:rPr>
          <w:b/>
        </w:rPr>
        <w:t>TRA-EQ-128</w:t>
      </w:r>
      <w:r w:rsidRPr="00EF29B5">
        <w:t> ;</w:t>
      </w:r>
    </w:p>
    <w:p w:rsidR="00EF29B5" w:rsidRPr="00EF29B5" w:rsidRDefault="00EF29B5" w:rsidP="00EF29B5">
      <w:pPr>
        <w:numPr>
          <w:ilvl w:val="0"/>
          <w:numId w:val="2"/>
        </w:numPr>
        <w:pBdr>
          <w:left w:val="single" w:sz="4" w:space="4" w:color="auto"/>
        </w:pBdr>
        <w:contextualSpacing/>
        <w:jc w:val="both"/>
      </w:pPr>
      <w:r w:rsidRPr="00EF29B5">
        <w:rPr>
          <w:b/>
        </w:rPr>
        <w:t>TRA-EQ-129</w:t>
      </w:r>
      <w:r w:rsidRPr="00EF29B5">
        <w:t> ;</w:t>
      </w:r>
    </w:p>
    <w:p w:rsidR="00EF29B5" w:rsidRPr="00EF29B5" w:rsidRDefault="00EF29B5" w:rsidP="00EF29B5">
      <w:pPr>
        <w:numPr>
          <w:ilvl w:val="0"/>
          <w:numId w:val="2"/>
        </w:numPr>
        <w:pBdr>
          <w:left w:val="single" w:sz="4" w:space="4" w:color="auto"/>
        </w:pBdr>
        <w:contextualSpacing/>
        <w:jc w:val="both"/>
      </w:pPr>
      <w:r w:rsidRPr="00EF29B5">
        <w:rPr>
          <w:b/>
        </w:rPr>
        <w:t>TRA-EQ-130</w:t>
      </w:r>
      <w:r w:rsidRPr="00EF29B5">
        <w:t> ;</w:t>
      </w:r>
    </w:p>
    <w:p w:rsidR="00EF29B5" w:rsidRPr="00EF29B5" w:rsidRDefault="00EF29B5" w:rsidP="00EF29B5">
      <w:pPr>
        <w:pBdr>
          <w:left w:val="single" w:sz="4" w:space="4" w:color="auto"/>
        </w:pBdr>
        <w:jc w:val="both"/>
      </w:pPr>
      <w:proofErr w:type="gramStart"/>
      <w:r w:rsidRPr="00EF29B5">
        <w:t>relatif</w:t>
      </w:r>
      <w:proofErr w:type="gramEnd"/>
      <w:r w:rsidRPr="00EF29B5">
        <w:t xml:space="preserve"> aux véhicules de démonstration. </w:t>
      </w:r>
    </w:p>
    <w:p w:rsidR="00EF29B5" w:rsidRPr="00EF29B5" w:rsidRDefault="00EF29B5" w:rsidP="00EF29B5">
      <w:pPr>
        <w:pBdr>
          <w:left w:val="single" w:sz="4" w:space="4" w:color="auto"/>
        </w:pBdr>
        <w:jc w:val="both"/>
      </w:pPr>
    </w:p>
    <w:p w:rsidR="00EF29B5" w:rsidRPr="00EF29B5" w:rsidRDefault="00EF29B5" w:rsidP="00EF29B5">
      <w:pPr>
        <w:pBdr>
          <w:left w:val="single" w:sz="4" w:space="4" w:color="auto"/>
        </w:pBdr>
        <w:jc w:val="both"/>
      </w:pPr>
      <w:r w:rsidRPr="00EF29B5">
        <w:t xml:space="preserve">Il met à jour le nom de la fiche </w:t>
      </w:r>
      <w:r w:rsidRPr="00EF29B5">
        <w:rPr>
          <w:b/>
        </w:rPr>
        <w:t>TRA-EQ-117</w:t>
      </w:r>
      <w:r w:rsidRPr="00EF29B5">
        <w:t xml:space="preserve"> dans l’arrêté relatif aux modalités d’application du dispositif des certificats d’économies d’énergie.</w:t>
      </w:r>
    </w:p>
    <w:p w:rsidR="00EF29B5" w:rsidRPr="00EF29B5" w:rsidRDefault="00EF29B5" w:rsidP="00EF29B5">
      <w:pPr>
        <w:pBdr>
          <w:left w:val="single" w:sz="4" w:space="4" w:color="auto"/>
        </w:pBdr>
        <w:jc w:val="both"/>
      </w:pPr>
    </w:p>
    <w:p w:rsidR="00EF29B5" w:rsidRDefault="00EF29B5" w:rsidP="00FE620C">
      <w:pPr>
        <w:pBdr>
          <w:left w:val="single" w:sz="4" w:space="4" w:color="auto"/>
        </w:pBdr>
        <w:jc w:val="both"/>
        <w:rPr>
          <w:rFonts w:ascii="Calibri" w:hAnsi="Calibri"/>
          <w:i/>
          <w:color w:val="000000" w:themeColor="text1"/>
          <w:szCs w:val="21"/>
        </w:rPr>
      </w:pPr>
      <w:hyperlink r:id="rId15" w:history="1">
        <w:r w:rsidRPr="00EF29B5">
          <w:rPr>
            <w:rFonts w:ascii="Calibri" w:hAnsi="Calibri"/>
            <w:color w:val="000000" w:themeColor="text1"/>
            <w:szCs w:val="21"/>
            <w:u w:val="single"/>
          </w:rPr>
          <w:t>Arrêté du 15 décembre 2025 modifiant des dispositions relatives aux fiches d'opérations standardisées BAR-TH-171 « Pompe à chaleur de type air/eau » et BAR-TH-172 « Pompe à chaleur de type eau/eau ou eau glycolée/eau » dans le cadre du dispositif des certificats d'économie d'énergie</w:t>
        </w:r>
      </w:hyperlink>
    </w:p>
    <w:p w:rsidR="00FE620C" w:rsidRDefault="00FE620C" w:rsidP="00FE620C">
      <w:pPr>
        <w:jc w:val="both"/>
        <w:rPr>
          <w:rFonts w:ascii="Calibri" w:hAnsi="Calibri"/>
          <w:color w:val="000000" w:themeColor="text1"/>
          <w:szCs w:val="21"/>
        </w:rPr>
      </w:pPr>
    </w:p>
    <w:p w:rsidR="00FE620C" w:rsidRDefault="00FE620C" w:rsidP="00FE620C">
      <w:pPr>
        <w:jc w:val="both"/>
        <w:rPr>
          <w:rFonts w:ascii="Calibri" w:hAnsi="Calibri"/>
          <w:color w:val="000000" w:themeColor="text1"/>
          <w:szCs w:val="21"/>
        </w:rPr>
      </w:pPr>
    </w:p>
    <w:p w:rsidR="00FE620C" w:rsidRPr="00EF29B5" w:rsidRDefault="00FE620C" w:rsidP="00FE620C">
      <w:pPr>
        <w:jc w:val="both"/>
        <w:rPr>
          <w:rFonts w:ascii="Calibri" w:hAnsi="Calibri"/>
          <w:color w:val="000000" w:themeColor="text1"/>
          <w:szCs w:val="21"/>
        </w:rPr>
      </w:pPr>
    </w:p>
    <w:p w:rsidR="00EF29B5" w:rsidRPr="00EF29B5" w:rsidRDefault="00EF29B5" w:rsidP="00FE620C">
      <w:pPr>
        <w:pBdr>
          <w:left w:val="single" w:sz="4" w:space="4" w:color="auto"/>
        </w:pBdr>
        <w:jc w:val="both"/>
        <w:rPr>
          <w:b/>
        </w:rPr>
      </w:pPr>
      <w:r w:rsidRPr="00EF29B5">
        <w:rPr>
          <w:b/>
        </w:rPr>
        <w:sym w:font="Wingdings" w:char="F0E8"/>
      </w:r>
      <w:r w:rsidRPr="00EF29B5">
        <w:rPr>
          <w:b/>
        </w:rPr>
        <w:t xml:space="preserve"> Mise en œuvre de la sixième période du dispositif des certificats d’économies d’énergie</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Le présent arrêté élève de quatre à cinq ans la durée maximale de contractualisation entre le bénéficiaire personne morale et le demandeur, relative à la contribution au titre du dispositif des certificats d’économies d’énergie.</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Il complète les informations à transmettre dans le cadre des demandes de certificats d’économies d’énergie.</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Il actualise, pour la sixième période, le coefficient forfaitaire relatif aux mises à la consommation de fioul domestique pour les ménages et entreprises du secteur tertiaire.</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lastRenderedPageBreak/>
        <w:t>Il précise les exigences en matière d’installation et de mise en service des équipements relevant des fiches d’opérations standardisées.</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 xml:space="preserve">Il autorise les personnes éligibles </w:t>
      </w:r>
      <w:proofErr w:type="gramStart"/>
      <w:r w:rsidRPr="00EF29B5">
        <w:t>hors</w:t>
      </w:r>
      <w:proofErr w:type="gramEnd"/>
      <w:r w:rsidRPr="00EF29B5">
        <w:t xml:space="preserve"> obligés à bénéficier des bonifications des « Coups de pouce » sans être tenus de signer les chartes, dès lors qu’elles agissent exclusivement sur leur propre patrimoine.</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Il prévoit, dans le cadre du Coup de pouce « Chauffage des bâtiments résidentiels collectifs et tertiaires », des dérogations à la dépose et à l’évacuation des équipements, sous certaines conditions.</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Il prévoit que l’organisme d’inspection choisi par le demandeur est accrédité selon la norme NF EN ISO/CEI 17020 et les dispositions de l’arrêté du 28 septembre 2021 modifié relatif aux contrôles dans le cadre du dispositif des certificats d’économies d’énergie.</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Il encadre la périodicité d’évaluation des compétences de l’organisme d’inspection et prévoit l’interdiction de déposer une nouvelle demande d’accréditation avant un certain délai, après un refus ou un retrait d’accréditation.</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pPr>
      <w:r w:rsidRPr="00EF29B5">
        <w:t>Il précise les modalités de mise à disposition des rapports d’inspection et renforce l’indépendance des organismes d’inspection.</w:t>
      </w:r>
    </w:p>
    <w:p w:rsidR="00EF29B5" w:rsidRPr="00EF29B5" w:rsidRDefault="00EF29B5" w:rsidP="00FE620C">
      <w:pPr>
        <w:pBdr>
          <w:left w:val="single" w:sz="4" w:space="4" w:color="auto"/>
        </w:pBdr>
        <w:jc w:val="both"/>
      </w:pPr>
    </w:p>
    <w:p w:rsidR="00EF29B5" w:rsidRPr="00EF29B5" w:rsidRDefault="00EF29B5" w:rsidP="00FE620C">
      <w:pPr>
        <w:pBdr>
          <w:left w:val="single" w:sz="4" w:space="4" w:color="auto"/>
        </w:pBdr>
        <w:jc w:val="both"/>
        <w:rPr>
          <w:rFonts w:ascii="Calibri" w:hAnsi="Calibri"/>
          <w:i/>
          <w:color w:val="000000" w:themeColor="text1"/>
          <w:szCs w:val="21"/>
        </w:rPr>
      </w:pPr>
      <w:hyperlink r:id="rId16" w:history="1">
        <w:r w:rsidRPr="00EF29B5">
          <w:rPr>
            <w:rFonts w:ascii="Calibri" w:hAnsi="Calibri"/>
            <w:color w:val="000000" w:themeColor="text1"/>
            <w:szCs w:val="21"/>
            <w:u w:val="single"/>
          </w:rPr>
          <w:t>Arrêté du 21 décembre 2025 relatif à la mise en œuvre de la sixième période du dispositif des certificats d'économies d'énergie</w:t>
        </w:r>
      </w:hyperlink>
    </w:p>
    <w:p w:rsidR="00EF29B5" w:rsidRPr="00EF29B5" w:rsidRDefault="00EF29B5" w:rsidP="00EF29B5">
      <w:pPr>
        <w:jc w:val="both"/>
        <w:rPr>
          <w:rFonts w:ascii="Calibri" w:hAnsi="Calibri"/>
          <w:szCs w:val="21"/>
        </w:rPr>
      </w:pPr>
    </w:p>
    <w:p w:rsidR="00EF29B5" w:rsidRPr="00EF29B5" w:rsidRDefault="00EF29B5" w:rsidP="00EF29B5">
      <w:pPr>
        <w:jc w:val="both"/>
        <w:rPr>
          <w:rFonts w:ascii="Calibri" w:hAnsi="Calibri"/>
          <w:szCs w:val="21"/>
        </w:rPr>
      </w:pPr>
    </w:p>
    <w:p w:rsidR="00EF29B5" w:rsidRPr="00EF29B5" w:rsidRDefault="00EF29B5" w:rsidP="00EF29B5">
      <w:pPr>
        <w:jc w:val="both"/>
        <w:rPr>
          <w:rFonts w:ascii="Calibri" w:hAnsi="Calibri"/>
          <w:szCs w:val="21"/>
        </w:rPr>
      </w:pPr>
    </w:p>
    <w:p w:rsidR="00EF29B5" w:rsidRPr="00EF29B5" w:rsidRDefault="00EF29B5" w:rsidP="00EF29B5">
      <w:pPr>
        <w:pBdr>
          <w:left w:val="single" w:sz="4" w:space="4" w:color="auto"/>
        </w:pBdr>
        <w:jc w:val="both"/>
        <w:rPr>
          <w:rFonts w:ascii="Calibri" w:hAnsi="Calibri"/>
          <w:b/>
          <w:szCs w:val="21"/>
        </w:rPr>
      </w:pPr>
      <w:r w:rsidRPr="00EF29B5">
        <w:rPr>
          <w:rFonts w:ascii="Calibri" w:hAnsi="Calibri"/>
          <w:b/>
          <w:szCs w:val="21"/>
        </w:rPr>
        <w:sym w:font="Wingdings" w:char="F0E8"/>
      </w:r>
      <w:r w:rsidRPr="00EF29B5">
        <w:rPr>
          <w:rFonts w:ascii="Calibri" w:hAnsi="Calibri"/>
          <w:b/>
          <w:szCs w:val="21"/>
        </w:rPr>
        <w:t xml:space="preserve"> Actualise des plafonds de revenus définissant les catégories de ménages modestes et de ménages en situation de précarité énergétique pour l’année 2026</w:t>
      </w:r>
    </w:p>
    <w:p w:rsidR="00EF29B5" w:rsidRPr="00EF29B5" w:rsidRDefault="00EF29B5" w:rsidP="00EF29B5">
      <w:pPr>
        <w:pBdr>
          <w:left w:val="single" w:sz="4" w:space="4" w:color="auto"/>
        </w:pBdr>
        <w:jc w:val="both"/>
        <w:rPr>
          <w:rFonts w:ascii="Calibri" w:hAnsi="Calibri"/>
          <w:szCs w:val="21"/>
        </w:rPr>
      </w:pPr>
    </w:p>
    <w:p w:rsidR="00EF29B5" w:rsidRPr="00EF29B5" w:rsidRDefault="00EF29B5" w:rsidP="00EF29B5">
      <w:pPr>
        <w:pBdr>
          <w:left w:val="single" w:sz="4" w:space="4" w:color="auto"/>
        </w:pBdr>
        <w:jc w:val="both"/>
        <w:rPr>
          <w:rFonts w:ascii="Calibri" w:hAnsi="Calibri"/>
          <w:i/>
          <w:color w:val="000000" w:themeColor="text1"/>
          <w:szCs w:val="21"/>
        </w:rPr>
      </w:pPr>
      <w:hyperlink r:id="rId17" w:history="1">
        <w:r w:rsidRPr="00EF29B5">
          <w:rPr>
            <w:rFonts w:ascii="Calibri" w:hAnsi="Calibri"/>
            <w:color w:val="000000" w:themeColor="text1"/>
            <w:szCs w:val="21"/>
            <w:u w:val="single"/>
          </w:rPr>
          <w:t>Arrêté du 22 décembre 2025 portant actualisation des plafonds de revenus pour l'année 2026 dans le cadre du dispositif des certificats d'économies d'énergie</w:t>
        </w:r>
      </w:hyperlink>
    </w:p>
    <w:p w:rsidR="00EF29B5" w:rsidRPr="00EF29B5" w:rsidRDefault="00EF29B5" w:rsidP="00EF29B5">
      <w:pPr>
        <w:jc w:val="both"/>
        <w:rPr>
          <w:rFonts w:ascii="Calibri" w:hAnsi="Calibri"/>
          <w:szCs w:val="21"/>
        </w:rPr>
      </w:pPr>
    </w:p>
    <w:p w:rsidR="00EF29B5" w:rsidRPr="00EF29B5" w:rsidRDefault="00EF29B5" w:rsidP="00EF29B5">
      <w:pPr>
        <w:jc w:val="both"/>
        <w:rPr>
          <w:rFonts w:ascii="Calibri" w:hAnsi="Calibri"/>
          <w:szCs w:val="21"/>
        </w:rPr>
      </w:pPr>
    </w:p>
    <w:p w:rsidR="00EF29B5" w:rsidRPr="00EF29B5" w:rsidRDefault="00EF29B5" w:rsidP="00EF29B5">
      <w:pPr>
        <w:jc w:val="both"/>
        <w:rPr>
          <w:rFonts w:ascii="Calibri" w:hAnsi="Calibri"/>
          <w:szCs w:val="21"/>
        </w:rPr>
      </w:pPr>
    </w:p>
    <w:p w:rsidR="00EF29B5" w:rsidRPr="00EF29B5" w:rsidRDefault="00EF29B5" w:rsidP="00EF29B5">
      <w:pPr>
        <w:pBdr>
          <w:left w:val="single" w:sz="4" w:space="4" w:color="auto"/>
        </w:pBdr>
        <w:jc w:val="both"/>
        <w:rPr>
          <w:rFonts w:ascii="Calibri" w:hAnsi="Calibri"/>
          <w:b/>
          <w:szCs w:val="21"/>
        </w:rPr>
      </w:pPr>
      <w:r w:rsidRPr="00EF29B5">
        <w:rPr>
          <w:rFonts w:ascii="Calibri" w:hAnsi="Calibri"/>
          <w:b/>
          <w:szCs w:val="21"/>
        </w:rPr>
        <w:sym w:font="Wingdings" w:char="F0E8"/>
      </w:r>
      <w:r w:rsidRPr="00EF29B5">
        <w:rPr>
          <w:rFonts w:ascii="Calibri" w:hAnsi="Calibri"/>
          <w:b/>
          <w:szCs w:val="21"/>
        </w:rPr>
        <w:t xml:space="preserve"> Prolongation du « Coup de pouce » pour les véhicules particuliers électrique</w:t>
      </w:r>
    </w:p>
    <w:p w:rsidR="00EF29B5" w:rsidRPr="00EF29B5" w:rsidRDefault="00EF29B5" w:rsidP="00EF29B5">
      <w:pPr>
        <w:pBdr>
          <w:left w:val="single" w:sz="4" w:space="4" w:color="auto"/>
        </w:pBdr>
        <w:jc w:val="both"/>
        <w:rPr>
          <w:rFonts w:ascii="Calibri" w:hAnsi="Calibri"/>
          <w:b/>
          <w:szCs w:val="21"/>
        </w:rPr>
      </w:pPr>
    </w:p>
    <w:p w:rsidR="00EF29B5" w:rsidRPr="00EF29B5" w:rsidRDefault="00EF29B5" w:rsidP="00EF29B5">
      <w:pPr>
        <w:pBdr>
          <w:left w:val="single" w:sz="4" w:space="4" w:color="auto"/>
        </w:pBdr>
        <w:jc w:val="both"/>
        <w:rPr>
          <w:rFonts w:ascii="Calibri" w:hAnsi="Calibri"/>
          <w:szCs w:val="21"/>
        </w:rPr>
      </w:pPr>
      <w:r w:rsidRPr="00EF29B5">
        <w:rPr>
          <w:rFonts w:ascii="Calibri" w:hAnsi="Calibri"/>
          <w:szCs w:val="21"/>
        </w:rPr>
        <w:t>Le présent arrêté prolonge le Coup de pouce « véhicules particuliers électriques » qui bonifie le forfait de la fiche d’opération standardisée TRA-EQ-117 relatif aux véhicules légers neufs de catégorie M1 pour les personnes physiques.</w:t>
      </w:r>
    </w:p>
    <w:p w:rsidR="00EF29B5" w:rsidRPr="00EF29B5" w:rsidRDefault="00EF29B5" w:rsidP="00EF29B5">
      <w:pPr>
        <w:pBdr>
          <w:left w:val="single" w:sz="4" w:space="4" w:color="auto"/>
        </w:pBdr>
        <w:jc w:val="both"/>
        <w:rPr>
          <w:rFonts w:ascii="Calibri" w:hAnsi="Calibri"/>
          <w:b/>
          <w:szCs w:val="21"/>
        </w:rPr>
      </w:pPr>
    </w:p>
    <w:p w:rsidR="00EF29B5" w:rsidRPr="00EF29B5" w:rsidRDefault="00EF29B5" w:rsidP="00EF29B5">
      <w:pPr>
        <w:pBdr>
          <w:left w:val="single" w:sz="4" w:space="4" w:color="auto"/>
        </w:pBdr>
        <w:jc w:val="both"/>
        <w:rPr>
          <w:rFonts w:ascii="Calibri" w:hAnsi="Calibri"/>
          <w:b/>
          <w:i/>
          <w:color w:val="000000" w:themeColor="text1"/>
          <w:szCs w:val="21"/>
        </w:rPr>
      </w:pPr>
      <w:hyperlink r:id="rId18" w:history="1">
        <w:r w:rsidRPr="00EF29B5">
          <w:rPr>
            <w:rFonts w:ascii="Calibri" w:hAnsi="Calibri"/>
            <w:color w:val="000000" w:themeColor="text1"/>
            <w:szCs w:val="21"/>
            <w:u w:val="single"/>
          </w:rPr>
          <w:t>Arrêté du 24 décembre 2025 prolongeant le Coup de pouce « véhicules particuliers électriques » dans le cadre du dispositif des certificats d'économies d'énergie</w:t>
        </w:r>
      </w:hyperlink>
    </w:p>
    <w:p w:rsidR="00EF29B5" w:rsidRPr="00EF29B5" w:rsidRDefault="00EF29B5" w:rsidP="00EF29B5">
      <w:pPr>
        <w:jc w:val="both"/>
        <w:rPr>
          <w:rFonts w:ascii="Calibri" w:hAnsi="Calibri"/>
          <w:szCs w:val="21"/>
        </w:rPr>
      </w:pPr>
    </w:p>
    <w:p w:rsidR="00EF29B5" w:rsidRPr="00EF29B5" w:rsidRDefault="00EF29B5" w:rsidP="00EF29B5">
      <w:pPr>
        <w:jc w:val="both"/>
        <w:rPr>
          <w:rFonts w:ascii="Calibri" w:hAnsi="Calibri"/>
          <w:szCs w:val="21"/>
        </w:rPr>
      </w:pPr>
    </w:p>
    <w:p w:rsidR="00EF29B5" w:rsidRPr="00EF29B5" w:rsidRDefault="00EF29B5" w:rsidP="00EF29B5">
      <w:pPr>
        <w:jc w:val="both"/>
        <w:rPr>
          <w:rFonts w:ascii="Calibri" w:hAnsi="Calibri"/>
          <w:szCs w:val="21"/>
        </w:rPr>
      </w:pPr>
    </w:p>
    <w:p w:rsidR="00EF29B5" w:rsidRPr="00EF29B5" w:rsidRDefault="00EF29B5" w:rsidP="00EF29B5">
      <w:pPr>
        <w:pBdr>
          <w:left w:val="single" w:sz="4" w:space="4" w:color="auto"/>
        </w:pBdr>
        <w:jc w:val="both"/>
        <w:rPr>
          <w:rFonts w:ascii="Calibri" w:hAnsi="Calibri"/>
          <w:b/>
          <w:szCs w:val="21"/>
        </w:rPr>
      </w:pPr>
      <w:r w:rsidRPr="00EF29B5">
        <w:rPr>
          <w:rFonts w:ascii="Calibri" w:hAnsi="Calibri"/>
          <w:b/>
          <w:szCs w:val="21"/>
        </w:rPr>
        <w:sym w:font="Wingdings" w:char="F0E8"/>
      </w:r>
      <w:r w:rsidRPr="00EF29B5">
        <w:rPr>
          <w:rFonts w:ascii="Calibri" w:hAnsi="Calibri"/>
          <w:b/>
          <w:szCs w:val="21"/>
        </w:rPr>
        <w:t xml:space="preserve"> Modification des fiches BAR-TH-143, BAR-TH-137 et BAT-TH-127</w:t>
      </w:r>
    </w:p>
    <w:p w:rsidR="00EF29B5" w:rsidRPr="00EF29B5" w:rsidRDefault="00EF29B5" w:rsidP="00EF29B5">
      <w:pPr>
        <w:pBdr>
          <w:left w:val="single" w:sz="4" w:space="4" w:color="auto"/>
        </w:pBdr>
        <w:jc w:val="both"/>
        <w:rPr>
          <w:rFonts w:ascii="Calibri" w:hAnsi="Calibri"/>
          <w:szCs w:val="21"/>
        </w:rPr>
      </w:pPr>
    </w:p>
    <w:p w:rsidR="00EF29B5" w:rsidRPr="00EF29B5" w:rsidRDefault="00EF29B5" w:rsidP="00EF29B5">
      <w:pPr>
        <w:pBdr>
          <w:left w:val="single" w:sz="4" w:space="4" w:color="auto"/>
        </w:pBdr>
        <w:jc w:val="both"/>
        <w:rPr>
          <w:rFonts w:ascii="Calibri" w:hAnsi="Calibri"/>
          <w:szCs w:val="21"/>
        </w:rPr>
      </w:pPr>
      <w:r w:rsidRPr="00EF29B5">
        <w:rPr>
          <w:rFonts w:ascii="Calibri" w:hAnsi="Calibri"/>
          <w:szCs w:val="21"/>
        </w:rPr>
        <w:t>Le présent arrêté modifie les fiches d’opérations standardisées :</w:t>
      </w:r>
    </w:p>
    <w:p w:rsidR="00EF29B5" w:rsidRPr="00EF29B5" w:rsidRDefault="00EF29B5" w:rsidP="00EF29B5">
      <w:pPr>
        <w:numPr>
          <w:ilvl w:val="0"/>
          <w:numId w:val="4"/>
        </w:numPr>
        <w:pBdr>
          <w:left w:val="single" w:sz="4" w:space="4" w:color="auto"/>
        </w:pBdr>
        <w:jc w:val="both"/>
        <w:rPr>
          <w:rFonts w:ascii="Calibri" w:hAnsi="Calibri"/>
          <w:szCs w:val="21"/>
        </w:rPr>
      </w:pPr>
      <w:r w:rsidRPr="00EF29B5">
        <w:rPr>
          <w:rFonts w:ascii="Calibri" w:hAnsi="Calibri"/>
          <w:b/>
          <w:szCs w:val="21"/>
        </w:rPr>
        <w:t>BAR-TH-143</w:t>
      </w:r>
      <w:r w:rsidRPr="00EF29B5">
        <w:rPr>
          <w:rFonts w:ascii="Calibri" w:hAnsi="Calibri"/>
          <w:szCs w:val="21"/>
        </w:rPr>
        <w:t xml:space="preserve"> « Système solaire combiné (France métropolitaine) » ;</w:t>
      </w:r>
    </w:p>
    <w:p w:rsidR="00EF29B5" w:rsidRPr="00EF29B5" w:rsidRDefault="00EF29B5" w:rsidP="00EF29B5">
      <w:pPr>
        <w:numPr>
          <w:ilvl w:val="0"/>
          <w:numId w:val="4"/>
        </w:numPr>
        <w:pBdr>
          <w:left w:val="single" w:sz="4" w:space="4" w:color="auto"/>
        </w:pBdr>
        <w:jc w:val="both"/>
        <w:rPr>
          <w:rFonts w:ascii="Calibri" w:hAnsi="Calibri"/>
          <w:szCs w:val="21"/>
        </w:rPr>
      </w:pPr>
      <w:r w:rsidRPr="00EF29B5">
        <w:rPr>
          <w:rFonts w:ascii="Calibri" w:hAnsi="Calibri"/>
          <w:b/>
          <w:szCs w:val="21"/>
        </w:rPr>
        <w:t>BAR-TH-137</w:t>
      </w:r>
      <w:r w:rsidRPr="00EF29B5">
        <w:rPr>
          <w:rFonts w:ascii="Calibri" w:hAnsi="Calibri"/>
          <w:szCs w:val="21"/>
        </w:rPr>
        <w:t xml:space="preserve"> « Raccordement d’un bâtiment résidentiel à un réseau de chaleur » ;</w:t>
      </w:r>
    </w:p>
    <w:p w:rsidR="00EF29B5" w:rsidRPr="00EF29B5" w:rsidRDefault="00EF29B5" w:rsidP="00EF29B5">
      <w:pPr>
        <w:numPr>
          <w:ilvl w:val="0"/>
          <w:numId w:val="4"/>
        </w:numPr>
        <w:pBdr>
          <w:left w:val="single" w:sz="4" w:space="4" w:color="auto"/>
        </w:pBdr>
        <w:jc w:val="both"/>
        <w:rPr>
          <w:rFonts w:ascii="Calibri" w:hAnsi="Calibri"/>
          <w:szCs w:val="21"/>
        </w:rPr>
      </w:pPr>
      <w:r w:rsidRPr="00EF29B5">
        <w:rPr>
          <w:rFonts w:ascii="Calibri" w:hAnsi="Calibri"/>
          <w:b/>
          <w:szCs w:val="21"/>
        </w:rPr>
        <w:t>BAT-TH-127</w:t>
      </w:r>
      <w:r w:rsidRPr="00EF29B5">
        <w:rPr>
          <w:rFonts w:ascii="Calibri" w:hAnsi="Calibri"/>
          <w:szCs w:val="21"/>
        </w:rPr>
        <w:t xml:space="preserve"> « Raccordement d’un bâtiment tertiaire à un réseau de chaleur » ;</w:t>
      </w:r>
    </w:p>
    <w:p w:rsidR="00EF29B5" w:rsidRPr="00EF29B5" w:rsidRDefault="00EF29B5" w:rsidP="00EF29B5">
      <w:pPr>
        <w:pBdr>
          <w:left w:val="single" w:sz="4" w:space="4" w:color="auto"/>
        </w:pBdr>
        <w:jc w:val="both"/>
        <w:rPr>
          <w:rFonts w:ascii="Calibri" w:hAnsi="Calibri"/>
          <w:szCs w:val="21"/>
        </w:rPr>
      </w:pPr>
      <w:proofErr w:type="gramStart"/>
      <w:r w:rsidRPr="00EF29B5">
        <w:rPr>
          <w:rFonts w:ascii="Calibri" w:hAnsi="Calibri"/>
          <w:szCs w:val="21"/>
        </w:rPr>
        <w:t>ainsi</w:t>
      </w:r>
      <w:proofErr w:type="gramEnd"/>
      <w:r w:rsidRPr="00EF29B5">
        <w:rPr>
          <w:rFonts w:ascii="Calibri" w:hAnsi="Calibri"/>
          <w:szCs w:val="21"/>
        </w:rPr>
        <w:t xml:space="preserve"> que les bonifications associées. </w:t>
      </w:r>
    </w:p>
    <w:p w:rsidR="00EF29B5" w:rsidRPr="00EF29B5" w:rsidRDefault="00EF29B5" w:rsidP="00EF29B5">
      <w:pPr>
        <w:pBdr>
          <w:left w:val="single" w:sz="4" w:space="4" w:color="auto"/>
        </w:pBdr>
        <w:jc w:val="both"/>
        <w:rPr>
          <w:rFonts w:ascii="Calibri" w:hAnsi="Calibri"/>
          <w:szCs w:val="21"/>
        </w:rPr>
      </w:pPr>
    </w:p>
    <w:p w:rsidR="00EF29B5" w:rsidRPr="00EF29B5" w:rsidRDefault="00EF29B5" w:rsidP="00EF29B5">
      <w:pPr>
        <w:pBdr>
          <w:left w:val="single" w:sz="4" w:space="4" w:color="auto"/>
        </w:pBdr>
        <w:jc w:val="both"/>
        <w:rPr>
          <w:rFonts w:ascii="Calibri" w:hAnsi="Calibri"/>
          <w:szCs w:val="21"/>
        </w:rPr>
      </w:pPr>
      <w:r w:rsidRPr="00EF29B5">
        <w:rPr>
          <w:rFonts w:ascii="Calibri" w:hAnsi="Calibri"/>
          <w:szCs w:val="21"/>
        </w:rPr>
        <w:t xml:space="preserve">Il introduit des taux de contrôles sur site et par contact pour la fiche </w:t>
      </w:r>
      <w:r w:rsidRPr="00EF29B5">
        <w:rPr>
          <w:rFonts w:ascii="Calibri" w:hAnsi="Calibri"/>
          <w:b/>
          <w:szCs w:val="21"/>
        </w:rPr>
        <w:t>BAR-TH-143</w:t>
      </w:r>
      <w:r w:rsidRPr="00EF29B5">
        <w:rPr>
          <w:rFonts w:ascii="Calibri" w:hAnsi="Calibri"/>
          <w:szCs w:val="21"/>
        </w:rPr>
        <w:t>.</w:t>
      </w:r>
    </w:p>
    <w:p w:rsidR="00EF29B5" w:rsidRPr="00EF29B5" w:rsidRDefault="00EF29B5" w:rsidP="00EF29B5">
      <w:pPr>
        <w:pBdr>
          <w:left w:val="single" w:sz="4" w:space="4" w:color="auto"/>
        </w:pBdr>
        <w:jc w:val="both"/>
        <w:rPr>
          <w:rFonts w:ascii="Calibri" w:hAnsi="Calibri"/>
          <w:szCs w:val="21"/>
        </w:rPr>
      </w:pPr>
    </w:p>
    <w:p w:rsidR="000E6286" w:rsidRDefault="00EF29B5" w:rsidP="00EF29B5">
      <w:pPr>
        <w:jc w:val="both"/>
      </w:pPr>
      <w:hyperlink r:id="rId19" w:history="1">
        <w:r w:rsidRPr="00EF29B5">
          <w:rPr>
            <w:rFonts w:ascii="Calibri" w:hAnsi="Calibri"/>
            <w:b/>
            <w:i/>
            <w:szCs w:val="21"/>
            <w:u w:val="single"/>
          </w:rPr>
          <w:t>Arrêté du 27 décembre 2025</w:t>
        </w:r>
        <w:r w:rsidRPr="00EF29B5">
          <w:rPr>
            <w:rFonts w:ascii="Calibri" w:hAnsi="Calibri"/>
            <w:i/>
            <w:szCs w:val="21"/>
            <w:u w:val="single"/>
          </w:rPr>
          <w:t xml:space="preserve"> modifiant les fiches d'opérations standardisées BAR-TH-143, BAR-TH-137 et BAT-TH-127 et les bonifications associées</w:t>
        </w:r>
      </w:hyperlink>
    </w:p>
    <w:p w:rsidR="005E7ED0" w:rsidRDefault="005E7ED0" w:rsidP="00FF1864">
      <w:pPr>
        <w:jc w:val="both"/>
      </w:pPr>
    </w:p>
    <w:p w:rsidR="00FE620C" w:rsidRDefault="00FE620C" w:rsidP="00FF1864">
      <w:pPr>
        <w:jc w:val="both"/>
      </w:pPr>
    </w:p>
    <w:p w:rsidR="00FE620C" w:rsidRDefault="00FE620C" w:rsidP="00FF1864">
      <w:pPr>
        <w:jc w:val="both"/>
      </w:pPr>
    </w:p>
    <w:p w:rsidR="00E71268" w:rsidRDefault="00E71268" w:rsidP="00E71268">
      <w:pPr>
        <w:pStyle w:val="Titre1"/>
      </w:pPr>
      <w:bookmarkStart w:id="5" w:name="_Toc218523576"/>
      <w:r>
        <w:t>Directive Efficacité Energétique</w:t>
      </w:r>
      <w:bookmarkEnd w:id="5"/>
    </w:p>
    <w:p w:rsidR="00E71268" w:rsidRDefault="00E71268" w:rsidP="00FF1864">
      <w:pPr>
        <w:pStyle w:val="Textebrut"/>
        <w:jc w:val="both"/>
      </w:pPr>
    </w:p>
    <w:p w:rsidR="00615302" w:rsidRPr="00615302" w:rsidRDefault="00E71268" w:rsidP="00615302">
      <w:pPr>
        <w:pStyle w:val="Textebrut"/>
        <w:pBdr>
          <w:left w:val="single" w:sz="4" w:space="4" w:color="auto"/>
        </w:pBdr>
        <w:jc w:val="both"/>
        <w:rPr>
          <w:b/>
        </w:rPr>
      </w:pPr>
      <w:r w:rsidRPr="00615302">
        <w:rPr>
          <w:b/>
        </w:rPr>
        <w:sym w:font="Wingdings" w:char="F0E8"/>
      </w:r>
      <w:r w:rsidRPr="00615302">
        <w:rPr>
          <w:b/>
        </w:rPr>
        <w:t xml:space="preserve"> </w:t>
      </w:r>
      <w:r w:rsidR="00615302" w:rsidRPr="00615302">
        <w:rPr>
          <w:b/>
        </w:rPr>
        <w:t>D</w:t>
      </w:r>
      <w:r w:rsidR="00615302" w:rsidRPr="00615302">
        <w:rPr>
          <w:b/>
        </w:rPr>
        <w:t>ispositions relatives à la mise en œuvre de l’évaluation de l’efficacité énergétique et de la sobriété énergétique de projets de grande ampleur et des plans et programmes notamment dans le cadre de l’évaluation environnementale, de l’intégration de cette évaluation dans le rapport de la Commission de régulation, des audits énergétiques et des systèmes de management de l’énergie</w:t>
      </w:r>
    </w:p>
    <w:p w:rsidR="00E71268" w:rsidRDefault="00E71268" w:rsidP="00615302">
      <w:pPr>
        <w:pStyle w:val="Textebrut"/>
        <w:pBdr>
          <w:left w:val="single" w:sz="4" w:space="4" w:color="auto"/>
        </w:pBdr>
        <w:jc w:val="both"/>
      </w:pPr>
    </w:p>
    <w:p w:rsidR="00E71268" w:rsidRDefault="00E71268" w:rsidP="00615302">
      <w:pPr>
        <w:pStyle w:val="Textebrut"/>
        <w:pBdr>
          <w:left w:val="single" w:sz="4" w:space="4" w:color="auto"/>
        </w:pBdr>
        <w:jc w:val="both"/>
      </w:pPr>
      <w:r>
        <w:t>L</w:t>
      </w:r>
      <w:r>
        <w:t xml:space="preserve">e décret précise les modalités de mise en œuvre des mesures prévues par la directive (UE) 2023/1791 du Parlement européen et du Conseil du 13 septembre 2023 relative à l’efficacité énergétique et modifiant le règlement (UE) 2023/955 (refonte). </w:t>
      </w:r>
    </w:p>
    <w:p w:rsidR="00615302" w:rsidRDefault="00615302" w:rsidP="00615302">
      <w:pPr>
        <w:pStyle w:val="Textebrut"/>
        <w:pBdr>
          <w:left w:val="single" w:sz="4" w:space="4" w:color="auto"/>
        </w:pBdr>
        <w:jc w:val="both"/>
      </w:pPr>
    </w:p>
    <w:p w:rsidR="00CC49D3" w:rsidRDefault="00E71268" w:rsidP="00615302">
      <w:pPr>
        <w:pStyle w:val="Textebrut"/>
        <w:pBdr>
          <w:left w:val="single" w:sz="4" w:space="4" w:color="auto"/>
        </w:pBdr>
        <w:jc w:val="both"/>
      </w:pPr>
      <w:r>
        <w:t xml:space="preserve">Il </w:t>
      </w:r>
      <w:bookmarkStart w:id="6" w:name="_Hlk218521703"/>
      <w:r>
        <w:t xml:space="preserve">comprend notamment des dispositions relatives à la mise en œuvre de l’évaluation de l’efficacité énergétique et de la sobriété énergétique de projets de grande ampleur et des plans et programmes notamment dans le cadre de l’évaluation environnementale, de l’intégration de cette évaluation dans le rapport de la Commission de régulation (CRE), </w:t>
      </w:r>
      <w:r w:rsidRPr="00CC49D3">
        <w:rPr>
          <w:b/>
        </w:rPr>
        <w:t>des audits énergétiques et des systèmes de management de l’énergie</w:t>
      </w:r>
      <w:bookmarkEnd w:id="6"/>
      <w:r w:rsidR="00CC49D3" w:rsidRPr="00CC49D3">
        <w:t xml:space="preserve"> (</w:t>
      </w:r>
      <w:r w:rsidR="00CC49D3" w:rsidRPr="00615302">
        <w:rPr>
          <w:i/>
          <w:u w:val="single"/>
        </w:rPr>
        <w:t>ndlr</w:t>
      </w:r>
      <w:r w:rsidR="00CC49D3" w:rsidRPr="00615302">
        <w:rPr>
          <w:b/>
          <w:u w:val="single"/>
        </w:rPr>
        <w:t xml:space="preserve">. </w:t>
      </w:r>
      <w:proofErr w:type="gramStart"/>
      <w:r w:rsidR="00CC49D3" w:rsidRPr="00615302">
        <w:rPr>
          <w:u w:val="single"/>
        </w:rPr>
        <w:t>voir</w:t>
      </w:r>
      <w:proofErr w:type="gramEnd"/>
      <w:r w:rsidR="00CC49D3" w:rsidRPr="00615302">
        <w:rPr>
          <w:u w:val="single"/>
        </w:rPr>
        <w:t xml:space="preserve"> article 6</w:t>
      </w:r>
      <w:r w:rsidR="00CC49D3" w:rsidRPr="00CC49D3">
        <w:t>)</w:t>
      </w:r>
      <w:r>
        <w:t xml:space="preserve">. </w:t>
      </w:r>
    </w:p>
    <w:p w:rsidR="00CC49D3" w:rsidRDefault="00CC49D3" w:rsidP="00615302">
      <w:pPr>
        <w:pStyle w:val="Textebrut"/>
        <w:pBdr>
          <w:left w:val="single" w:sz="4" w:space="4" w:color="auto"/>
        </w:pBdr>
        <w:jc w:val="both"/>
      </w:pPr>
    </w:p>
    <w:p w:rsidR="00CC49D3" w:rsidRDefault="00E71268" w:rsidP="00615302">
      <w:pPr>
        <w:pStyle w:val="Textebrut"/>
        <w:pBdr>
          <w:left w:val="single" w:sz="4" w:space="4" w:color="auto"/>
        </w:pBdr>
        <w:jc w:val="both"/>
      </w:pPr>
      <w:r>
        <w:t xml:space="preserve">Il précise les modalités d’intégration du programme d’actions en matière de chaleur et de froid dans les plans climat-air-énergie territoriaux (PCAET), les modalités de réalisation des analyses coûts-avantages, et les attentes en matière de suivi de la performance énergétique des centres de données. </w:t>
      </w:r>
    </w:p>
    <w:p w:rsidR="00CC49D3" w:rsidRDefault="00CC49D3" w:rsidP="00615302">
      <w:pPr>
        <w:pStyle w:val="Textebrut"/>
        <w:pBdr>
          <w:left w:val="single" w:sz="4" w:space="4" w:color="auto"/>
        </w:pBdr>
        <w:jc w:val="both"/>
      </w:pPr>
    </w:p>
    <w:p w:rsidR="00E71268" w:rsidRDefault="00E71268" w:rsidP="00615302">
      <w:pPr>
        <w:pStyle w:val="Textebrut"/>
        <w:pBdr>
          <w:left w:val="single" w:sz="4" w:space="4" w:color="auto"/>
        </w:pBdr>
        <w:jc w:val="both"/>
      </w:pPr>
      <w:r>
        <w:t>Il modifie la partie règlementaire du code de l’énergie relative aux données de transport, de distribution, de consommation et de production d’électricité et de gaz pour faciliter leur collecte.</w:t>
      </w:r>
    </w:p>
    <w:p w:rsidR="00E71268" w:rsidRDefault="00E71268" w:rsidP="00615302">
      <w:pPr>
        <w:pStyle w:val="Textebrut"/>
        <w:pBdr>
          <w:left w:val="single" w:sz="4" w:space="4" w:color="auto"/>
        </w:pBdr>
        <w:jc w:val="both"/>
      </w:pPr>
    </w:p>
    <w:p w:rsidR="005E7ED0" w:rsidRPr="00E71268" w:rsidRDefault="00E71268" w:rsidP="00615302">
      <w:pPr>
        <w:pStyle w:val="Textebrut"/>
        <w:pBdr>
          <w:left w:val="single" w:sz="4" w:space="4" w:color="auto"/>
        </w:pBdr>
        <w:jc w:val="both"/>
        <w:rPr>
          <w:i/>
        </w:rPr>
      </w:pPr>
      <w:hyperlink r:id="rId20" w:history="1">
        <w:r w:rsidR="005E7ED0" w:rsidRPr="00E71268">
          <w:rPr>
            <w:rStyle w:val="Lienhypertexte"/>
            <w:b/>
            <w:i/>
            <w:color w:val="auto"/>
          </w:rPr>
          <w:t>Décret n° 2025-1382 du 29 décembre 2025</w:t>
        </w:r>
        <w:r w:rsidR="005E7ED0" w:rsidRPr="00E71268">
          <w:rPr>
            <w:rStyle w:val="Lienhypertexte"/>
            <w:i/>
            <w:color w:val="auto"/>
          </w:rPr>
          <w:t xml:space="preserve"> relatif à la transposition de la directive (UE) 2023/1791 </w:t>
        </w:r>
        <w:proofErr w:type="gramStart"/>
        <w:r w:rsidR="005E7ED0" w:rsidRPr="00E71268">
          <w:rPr>
            <w:rStyle w:val="Lienhypertexte"/>
            <w:i/>
            <w:color w:val="auto"/>
          </w:rPr>
          <w:t>relative</w:t>
        </w:r>
        <w:proofErr w:type="gramEnd"/>
        <w:r w:rsidR="005E7ED0" w:rsidRPr="00E71268">
          <w:rPr>
            <w:rStyle w:val="Lienhypertexte"/>
            <w:i/>
            <w:color w:val="auto"/>
          </w:rPr>
          <w:t xml:space="preserve"> à l'efficacité énergétique</w:t>
        </w:r>
      </w:hyperlink>
    </w:p>
    <w:p w:rsidR="00B02917" w:rsidRDefault="00B02917" w:rsidP="00FF1864">
      <w:pPr>
        <w:jc w:val="both"/>
      </w:pPr>
    </w:p>
    <w:p w:rsidR="00644658" w:rsidRDefault="00644658" w:rsidP="00FF1864">
      <w:pPr>
        <w:jc w:val="both"/>
      </w:pPr>
    </w:p>
    <w:p w:rsidR="00EE5D4B" w:rsidRDefault="00EE5D4B" w:rsidP="00FF1864">
      <w:pPr>
        <w:jc w:val="both"/>
      </w:pPr>
    </w:p>
    <w:p w:rsidR="00EE5D4B" w:rsidRDefault="00EE5D4B" w:rsidP="00EE5D4B">
      <w:pPr>
        <w:pStyle w:val="Titre1"/>
      </w:pPr>
      <w:bookmarkStart w:id="7" w:name="_Toc218523577"/>
      <w:r>
        <w:t>Emissions de gaz à effet de serre</w:t>
      </w:r>
      <w:bookmarkEnd w:id="7"/>
    </w:p>
    <w:p w:rsidR="00EE5D4B" w:rsidRDefault="00EE5D4B" w:rsidP="00FF1864">
      <w:pPr>
        <w:jc w:val="both"/>
      </w:pPr>
    </w:p>
    <w:p w:rsidR="00EE5D4B" w:rsidRPr="00EE5D4B" w:rsidRDefault="00EE5D4B" w:rsidP="00EE5D4B">
      <w:pPr>
        <w:pStyle w:val="Textebrut"/>
        <w:pBdr>
          <w:left w:val="single" w:sz="4" w:space="4" w:color="auto"/>
        </w:pBdr>
        <w:jc w:val="both"/>
        <w:rPr>
          <w:b/>
        </w:rPr>
      </w:pPr>
      <w:r w:rsidRPr="00EE5D4B">
        <w:rPr>
          <w:b/>
        </w:rPr>
        <w:sym w:font="Wingdings" w:char="F0E8"/>
      </w:r>
      <w:r w:rsidRPr="00EE5D4B">
        <w:rPr>
          <w:b/>
        </w:rPr>
        <w:t xml:space="preserve"> P</w:t>
      </w:r>
      <w:r w:rsidRPr="00EE5D4B">
        <w:rPr>
          <w:b/>
        </w:rPr>
        <w:t>rix du quota carbone</w:t>
      </w:r>
    </w:p>
    <w:p w:rsidR="00EE5D4B" w:rsidRDefault="00EE5D4B" w:rsidP="00EE5D4B">
      <w:pPr>
        <w:pStyle w:val="Textebrut"/>
        <w:pBdr>
          <w:left w:val="single" w:sz="4" w:space="4" w:color="auto"/>
        </w:pBdr>
        <w:jc w:val="both"/>
      </w:pPr>
    </w:p>
    <w:p w:rsidR="00EE5D4B" w:rsidRPr="00EE5D4B" w:rsidRDefault="00EE5D4B" w:rsidP="00EE5D4B">
      <w:pPr>
        <w:pStyle w:val="Textebrut"/>
        <w:pBdr>
          <w:left w:val="single" w:sz="4" w:space="4" w:color="auto"/>
        </w:pBdr>
        <w:jc w:val="both"/>
      </w:pPr>
      <w:r>
        <w:t>Pour les coûts supportés en 2025, le prix à terme des quotas du système d’échange de quotas d’émission est fixé à 68,86 € par tonne.</w:t>
      </w:r>
    </w:p>
    <w:p w:rsidR="00EE5D4B" w:rsidRPr="00EE5D4B" w:rsidRDefault="00EE5D4B" w:rsidP="00EE5D4B">
      <w:pPr>
        <w:pStyle w:val="Textebrut"/>
        <w:pBdr>
          <w:left w:val="single" w:sz="4" w:space="4" w:color="auto"/>
        </w:pBdr>
        <w:jc w:val="both"/>
      </w:pPr>
    </w:p>
    <w:p w:rsidR="00B02917" w:rsidRPr="00EE5D4B" w:rsidRDefault="00EE5D4B" w:rsidP="00EE5D4B">
      <w:pPr>
        <w:pStyle w:val="Textebrut"/>
        <w:pBdr>
          <w:left w:val="single" w:sz="4" w:space="4" w:color="auto"/>
        </w:pBdr>
        <w:jc w:val="both"/>
        <w:rPr>
          <w:i/>
        </w:rPr>
      </w:pPr>
      <w:hyperlink r:id="rId21" w:history="1">
        <w:r w:rsidR="00B02917" w:rsidRPr="00EE5D4B">
          <w:rPr>
            <w:rStyle w:val="Lienhypertexte"/>
            <w:b/>
            <w:i/>
            <w:color w:val="auto"/>
          </w:rPr>
          <w:t>Arrêté du 23 décembre 2025</w:t>
        </w:r>
        <w:r w:rsidR="00B02917" w:rsidRPr="00EE5D4B">
          <w:rPr>
            <w:rStyle w:val="Lienhypertexte"/>
            <w:i/>
            <w:color w:val="auto"/>
          </w:rPr>
          <w:t xml:space="preserve"> fixant le prix du quota carbone utilisé dans le calcul de l'aide accordée au titre de 2025 aux entreprises exposées à un risque significatif de fuite de carbone en raison des coûts du système d'échange de quotas d'émission de gaz à effet de serre répercutés sur les prix de l'électricité, ainsi que le coefficient de l'électricité décarbonée dans la production nationale en 2024</w:t>
        </w:r>
      </w:hyperlink>
    </w:p>
    <w:p w:rsidR="00B02917" w:rsidRDefault="00B02917" w:rsidP="00FF1864">
      <w:pPr>
        <w:jc w:val="both"/>
      </w:pPr>
    </w:p>
    <w:p w:rsidR="00F66832" w:rsidRDefault="00F66832" w:rsidP="00FF1864">
      <w:pPr>
        <w:jc w:val="both"/>
      </w:pPr>
    </w:p>
    <w:p w:rsidR="00F66832" w:rsidRPr="00644658" w:rsidRDefault="00F66832" w:rsidP="00731C35">
      <w:pPr>
        <w:pStyle w:val="Textebrut"/>
        <w:jc w:val="both"/>
        <w:rPr>
          <w:rStyle w:val="Lienhypertexte"/>
          <w:color w:val="auto"/>
        </w:rPr>
      </w:pPr>
    </w:p>
    <w:p w:rsidR="008F78E8" w:rsidRPr="00723262" w:rsidRDefault="00723262" w:rsidP="00723262">
      <w:pPr>
        <w:pBdr>
          <w:left w:val="single" w:sz="4" w:space="4" w:color="auto"/>
        </w:pBdr>
        <w:jc w:val="both"/>
        <w:rPr>
          <w:b/>
        </w:rPr>
      </w:pPr>
      <w:r w:rsidRPr="00723262">
        <w:rPr>
          <w:b/>
        </w:rPr>
        <w:sym w:font="Wingdings" w:char="F0E8"/>
      </w:r>
      <w:r w:rsidRPr="00723262">
        <w:rPr>
          <w:b/>
        </w:rPr>
        <w:t xml:space="preserve"> L</w:t>
      </w:r>
      <w:r w:rsidRPr="00723262">
        <w:rPr>
          <w:b/>
        </w:rPr>
        <w:t>iste des exploitants d’installations fixes soumises à autorisation d’émettre des gaz à effet de serre</w:t>
      </w:r>
    </w:p>
    <w:p w:rsidR="008F78E8" w:rsidRDefault="008F78E8" w:rsidP="00723262">
      <w:pPr>
        <w:pBdr>
          <w:left w:val="single" w:sz="4" w:space="4" w:color="auto"/>
        </w:pBdr>
        <w:jc w:val="both"/>
      </w:pPr>
    </w:p>
    <w:p w:rsidR="008F78E8" w:rsidRPr="00723262" w:rsidRDefault="00723262" w:rsidP="00723262">
      <w:pPr>
        <w:pStyle w:val="Textebrut"/>
        <w:pBdr>
          <w:left w:val="single" w:sz="4" w:space="4" w:color="auto"/>
        </w:pBdr>
        <w:jc w:val="both"/>
        <w:rPr>
          <w:i/>
        </w:rPr>
      </w:pPr>
      <w:hyperlink r:id="rId22" w:history="1">
        <w:r w:rsidR="008F78E8" w:rsidRPr="00723262">
          <w:rPr>
            <w:rStyle w:val="Lienhypertexte"/>
            <w:b/>
            <w:i/>
            <w:color w:val="auto"/>
          </w:rPr>
          <w:t>Arrêté du 23 décembre 2025</w:t>
        </w:r>
        <w:r w:rsidR="008F78E8" w:rsidRPr="00723262">
          <w:rPr>
            <w:rStyle w:val="Lienhypertexte"/>
            <w:i/>
            <w:color w:val="auto"/>
          </w:rPr>
          <w:t xml:space="preserve"> modifiant l'arrêté du 10 décembre 2021 fixant la liste des exploitants d'installations soumises à autorisation pour les émissions de gaz à effet de serre ainsi que le montant des quotas d'émission affectés à titre gratuit pour les exploitants d'installations pour lesquelles des quotas d'émission à titre gratuit sont affectés, pour la période 2021-2025</w:t>
        </w:r>
      </w:hyperlink>
    </w:p>
    <w:p w:rsidR="008F78E8" w:rsidRDefault="008F78E8" w:rsidP="00FF1864">
      <w:pPr>
        <w:pStyle w:val="Textebrut"/>
        <w:jc w:val="both"/>
      </w:pPr>
    </w:p>
    <w:p w:rsidR="00644658" w:rsidRDefault="00644658" w:rsidP="00FF1864">
      <w:pPr>
        <w:pStyle w:val="Textebrut"/>
        <w:jc w:val="both"/>
      </w:pPr>
    </w:p>
    <w:p w:rsidR="008F78E8" w:rsidRDefault="008F78E8" w:rsidP="00FF1864">
      <w:pPr>
        <w:jc w:val="both"/>
      </w:pPr>
    </w:p>
    <w:p w:rsidR="000E6286" w:rsidRDefault="000E6286" w:rsidP="000E6286">
      <w:pPr>
        <w:pStyle w:val="Titre1"/>
      </w:pPr>
      <w:bookmarkStart w:id="8" w:name="_Toc218523578"/>
      <w:r>
        <w:t>Energie hydraulique</w:t>
      </w:r>
      <w:bookmarkEnd w:id="8"/>
    </w:p>
    <w:p w:rsidR="000E6286" w:rsidRDefault="000E6286" w:rsidP="000E6286">
      <w:pPr>
        <w:pStyle w:val="Textebrut"/>
        <w:jc w:val="both"/>
      </w:pPr>
    </w:p>
    <w:p w:rsidR="000E6286" w:rsidRPr="00113B26" w:rsidRDefault="000E6286" w:rsidP="000E6286">
      <w:pPr>
        <w:pStyle w:val="Textebrut"/>
        <w:pBdr>
          <w:left w:val="single" w:sz="4" w:space="4" w:color="auto"/>
        </w:pBdr>
        <w:jc w:val="both"/>
        <w:rPr>
          <w:b/>
          <w:color w:val="000000" w:themeColor="text1"/>
        </w:rPr>
      </w:pPr>
      <w:r w:rsidRPr="00113B26">
        <w:rPr>
          <w:b/>
          <w:color w:val="000000" w:themeColor="text1"/>
        </w:rPr>
        <w:sym w:font="Wingdings" w:char="F0E8"/>
      </w:r>
      <w:r w:rsidRPr="00113B26">
        <w:rPr>
          <w:b/>
          <w:color w:val="000000" w:themeColor="text1"/>
        </w:rPr>
        <w:t xml:space="preserve"> P</w:t>
      </w:r>
      <w:r w:rsidRPr="00113B26">
        <w:rPr>
          <w:b/>
        </w:rPr>
        <w:t>rojets de rénovation des installations hydroélectriques gravitaires</w:t>
      </w:r>
    </w:p>
    <w:p w:rsidR="000E6286" w:rsidRDefault="000E6286" w:rsidP="000E6286">
      <w:pPr>
        <w:pStyle w:val="Textebrut"/>
        <w:pBdr>
          <w:left w:val="single" w:sz="4" w:space="4" w:color="auto"/>
        </w:pBdr>
        <w:jc w:val="both"/>
        <w:rPr>
          <w:i/>
          <w:color w:val="000000" w:themeColor="text1"/>
        </w:rPr>
      </w:pPr>
    </w:p>
    <w:p w:rsidR="000E6286" w:rsidRPr="008044BB" w:rsidRDefault="000E6286" w:rsidP="000E6286">
      <w:pPr>
        <w:pStyle w:val="Textebrut"/>
        <w:pBdr>
          <w:left w:val="single" w:sz="4" w:space="4" w:color="auto"/>
        </w:pBdr>
        <w:jc w:val="both"/>
        <w:rPr>
          <w:color w:val="000000" w:themeColor="text1"/>
        </w:rPr>
      </w:pPr>
      <w:r>
        <w:t>Le présent arrêté définit la liste et les caractéristiques des installations, ayant par le passé bénéficié d’un contrat d’obligation d’achat ou respectivement d’un contrat de complément de rémunération, éligibles à un nouveau contrat de complément de rémunération sous réserve de réaliser un programme d’investissement en application de l’article L. 314-19 ou respectivement de l’article L. 314-21. Le texte ouvre la possibilité aux installations hydroélectriques gravitaires relevant du régime de l’autorisation, de puissance installée supérieure à 1 MW et détenues à 100 % par des PME ou des communautés d’énergie de bénéficier, après un premier contrat d’achat ou de complément de rémunération, d’un contrat de complément de rémunération, sous réserve de réaliser un programme d’investissement en l’application des articles L. 314-19 et L. 314-21.</w:t>
      </w:r>
    </w:p>
    <w:p w:rsidR="000E6286" w:rsidRDefault="000E6286" w:rsidP="000E6286">
      <w:pPr>
        <w:pStyle w:val="Textebrut"/>
        <w:pBdr>
          <w:left w:val="single" w:sz="4" w:space="4" w:color="auto"/>
        </w:pBdr>
        <w:jc w:val="both"/>
        <w:rPr>
          <w:i/>
          <w:color w:val="000000" w:themeColor="text1"/>
        </w:rPr>
      </w:pPr>
    </w:p>
    <w:p w:rsidR="000E6286" w:rsidRPr="00113B26" w:rsidRDefault="000E6286" w:rsidP="000E6286">
      <w:pPr>
        <w:pStyle w:val="Textebrut"/>
        <w:pBdr>
          <w:left w:val="single" w:sz="4" w:space="4" w:color="auto"/>
        </w:pBdr>
        <w:jc w:val="both"/>
        <w:rPr>
          <w:i/>
          <w:color w:val="000000" w:themeColor="text1"/>
        </w:rPr>
      </w:pPr>
      <w:hyperlink r:id="rId23" w:history="1">
        <w:r w:rsidRPr="00113B26">
          <w:rPr>
            <w:rStyle w:val="Lienhypertexte"/>
            <w:b/>
            <w:i/>
            <w:color w:val="000000" w:themeColor="text1"/>
          </w:rPr>
          <w:t>Décret n° 2025-1300 du 24 décembre 2025</w:t>
        </w:r>
        <w:r w:rsidRPr="00113B26">
          <w:rPr>
            <w:rStyle w:val="Lienhypertexte"/>
            <w:i/>
            <w:color w:val="000000" w:themeColor="text1"/>
          </w:rPr>
          <w:t xml:space="preserve"> relatif à l'éligibilité au complément de rémunération des projets de rénovation des installations hydroélectriques gravitaires réalisant un programme d'investissement en application des articles L. 314-19 et L. 314-21 du code de l'énergie</w:t>
        </w:r>
      </w:hyperlink>
    </w:p>
    <w:p w:rsidR="000E6286" w:rsidRDefault="000E6286" w:rsidP="000E6286">
      <w:pPr>
        <w:pStyle w:val="Textebrut"/>
        <w:jc w:val="both"/>
      </w:pPr>
    </w:p>
    <w:p w:rsidR="00644658" w:rsidRDefault="00644658" w:rsidP="000E6286">
      <w:pPr>
        <w:pStyle w:val="Textebrut"/>
        <w:jc w:val="both"/>
      </w:pPr>
    </w:p>
    <w:p w:rsidR="000E6286" w:rsidRDefault="000E6286" w:rsidP="000E6286">
      <w:pPr>
        <w:pStyle w:val="Textebrut"/>
        <w:jc w:val="both"/>
      </w:pPr>
    </w:p>
    <w:p w:rsidR="000E6286" w:rsidRDefault="000E6286" w:rsidP="000E6286">
      <w:pPr>
        <w:pStyle w:val="Titre1"/>
      </w:pPr>
      <w:bookmarkStart w:id="9" w:name="_Toc218523579"/>
      <w:r>
        <w:t>Environnement</w:t>
      </w:r>
      <w:bookmarkEnd w:id="9"/>
    </w:p>
    <w:p w:rsidR="000E6286" w:rsidRDefault="000E6286" w:rsidP="000E6286">
      <w:pPr>
        <w:pStyle w:val="Textebrut"/>
        <w:jc w:val="both"/>
      </w:pPr>
    </w:p>
    <w:p w:rsidR="000E6286" w:rsidRPr="00CF70B7" w:rsidRDefault="000E6286" w:rsidP="000E6286">
      <w:pPr>
        <w:pStyle w:val="Textebrut"/>
        <w:pBdr>
          <w:left w:val="single" w:sz="4" w:space="4" w:color="auto"/>
        </w:pBdr>
        <w:jc w:val="both"/>
        <w:rPr>
          <w:b/>
        </w:rPr>
      </w:pPr>
      <w:r w:rsidRPr="00CF70B7">
        <w:rPr>
          <w:b/>
        </w:rPr>
        <w:sym w:font="Wingdings" w:char="F0E8"/>
      </w:r>
      <w:r w:rsidRPr="00CF70B7">
        <w:rPr>
          <w:b/>
        </w:rPr>
        <w:t xml:space="preserve"> Teneur en plastique maximale autorisée dans les gobelets en plastique à usage unique</w:t>
      </w:r>
    </w:p>
    <w:p w:rsidR="000E6286" w:rsidRDefault="000E6286" w:rsidP="000E6286">
      <w:pPr>
        <w:pStyle w:val="Textebrut"/>
        <w:pBdr>
          <w:left w:val="single" w:sz="4" w:space="4" w:color="auto"/>
        </w:pBdr>
        <w:jc w:val="both"/>
      </w:pPr>
    </w:p>
    <w:p w:rsidR="000E6286" w:rsidRDefault="000E6286" w:rsidP="000E6286">
      <w:pPr>
        <w:pStyle w:val="Textebrut"/>
        <w:pBdr>
          <w:left w:val="single" w:sz="4" w:space="4" w:color="auto"/>
        </w:pBdr>
        <w:jc w:val="both"/>
      </w:pPr>
      <w:r>
        <w:t xml:space="preserve">Le présent arrêté modifie la trajectoire de réduction de la teneur en plastique maximale autorisée dans les gobelets en plastique à usage unique, et plus spécifiquement l’échéance à laquelle ces gobelets ne devront plus contenir de plastique. </w:t>
      </w:r>
    </w:p>
    <w:p w:rsidR="000E6286" w:rsidRDefault="000E6286" w:rsidP="000E6286">
      <w:pPr>
        <w:pStyle w:val="Textebrut"/>
        <w:pBdr>
          <w:left w:val="single" w:sz="4" w:space="4" w:color="auto"/>
        </w:pBdr>
        <w:jc w:val="both"/>
      </w:pPr>
    </w:p>
    <w:p w:rsidR="000E6286" w:rsidRDefault="000E6286" w:rsidP="000E6286">
      <w:pPr>
        <w:pStyle w:val="Textebrut"/>
        <w:pBdr>
          <w:left w:val="single" w:sz="4" w:space="4" w:color="auto"/>
        </w:pBdr>
        <w:jc w:val="both"/>
      </w:pPr>
      <w:r>
        <w:t xml:space="preserve">Celle-ci, initialement fixée au 1er janvier 2026, est désormais fixée au 1er janvier 2030, afin de tenir compte des conclusions du bilan d’étape réalisé en 2025, prévu par l’arrêté du 24 septembre 2021 relatif à la teneur en plastique maximale autorisée dans les gobelets en plastique à usage unique, relatif à la faisabilité technique d’une absence de plastique dans les gobelets restant autorisés à l’échéance initiale de 2026. </w:t>
      </w:r>
    </w:p>
    <w:p w:rsidR="000E6286" w:rsidRDefault="000E6286" w:rsidP="000E6286">
      <w:pPr>
        <w:pStyle w:val="Textebrut"/>
        <w:pBdr>
          <w:left w:val="single" w:sz="4" w:space="4" w:color="auto"/>
        </w:pBdr>
        <w:jc w:val="both"/>
      </w:pPr>
    </w:p>
    <w:p w:rsidR="000E6286" w:rsidRDefault="000E6286" w:rsidP="000E6286">
      <w:pPr>
        <w:pStyle w:val="Textebrut"/>
        <w:pBdr>
          <w:left w:val="single" w:sz="4" w:space="4" w:color="auto"/>
        </w:pBdr>
        <w:jc w:val="both"/>
      </w:pPr>
      <w:r>
        <w:t xml:space="preserve">Un bilan d’étape est réalisé en 2028 sur le suivi des progrès réalisés en matière de substitution des gobelets en plastique à usage unique. </w:t>
      </w:r>
    </w:p>
    <w:p w:rsidR="000E6286" w:rsidRDefault="000E6286" w:rsidP="000E6286">
      <w:pPr>
        <w:pStyle w:val="Textebrut"/>
        <w:pBdr>
          <w:left w:val="single" w:sz="4" w:space="4" w:color="auto"/>
        </w:pBdr>
        <w:jc w:val="both"/>
      </w:pPr>
    </w:p>
    <w:p w:rsidR="000E6286" w:rsidRDefault="000E6286" w:rsidP="000E6286">
      <w:pPr>
        <w:pStyle w:val="Textebrut"/>
        <w:pBdr>
          <w:left w:val="single" w:sz="4" w:space="4" w:color="auto"/>
        </w:pBdr>
        <w:jc w:val="both"/>
      </w:pPr>
      <w:r>
        <w:lastRenderedPageBreak/>
        <w:t>Un délai d’écoulement des stocks pour les gobelets fabriqués ou importés est prévu à compter de la nouvelle échéance du 1er janvier 2030.</w:t>
      </w:r>
    </w:p>
    <w:p w:rsidR="000E6286" w:rsidRDefault="000E6286" w:rsidP="000E6286">
      <w:pPr>
        <w:pStyle w:val="Textebrut"/>
        <w:pBdr>
          <w:left w:val="single" w:sz="4" w:space="4" w:color="auto"/>
        </w:pBdr>
        <w:jc w:val="both"/>
      </w:pPr>
    </w:p>
    <w:p w:rsidR="000E6286" w:rsidRPr="00CF70B7" w:rsidRDefault="000E6286" w:rsidP="000E6286">
      <w:pPr>
        <w:pStyle w:val="Textebrut"/>
        <w:pBdr>
          <w:left w:val="single" w:sz="4" w:space="4" w:color="auto"/>
        </w:pBdr>
        <w:jc w:val="both"/>
        <w:rPr>
          <w:i/>
        </w:rPr>
      </w:pPr>
      <w:hyperlink r:id="rId24" w:history="1">
        <w:r w:rsidRPr="00CF70B7">
          <w:rPr>
            <w:rStyle w:val="Lienhypertexte"/>
            <w:b/>
            <w:i/>
            <w:color w:val="auto"/>
          </w:rPr>
          <w:t>Arrêté du 28 décembre 2025</w:t>
        </w:r>
        <w:r w:rsidRPr="00CF70B7">
          <w:rPr>
            <w:rStyle w:val="Lienhypertexte"/>
            <w:i/>
            <w:color w:val="auto"/>
          </w:rPr>
          <w:t xml:space="preserve"> modifiant l'arrêté du 24 septembre 2021 relatif à la teneur en plastique maximale autorisée dans les gobelets en plastique à usage unique</w:t>
        </w:r>
      </w:hyperlink>
    </w:p>
    <w:p w:rsidR="000E6286" w:rsidRDefault="000E6286" w:rsidP="000E6286">
      <w:pPr>
        <w:pStyle w:val="Textebrut"/>
        <w:jc w:val="both"/>
      </w:pPr>
    </w:p>
    <w:p w:rsidR="00644658" w:rsidRDefault="00644658" w:rsidP="000E6286">
      <w:pPr>
        <w:pStyle w:val="Textebrut"/>
        <w:jc w:val="both"/>
      </w:pPr>
    </w:p>
    <w:p w:rsidR="00C22661" w:rsidRDefault="00C22661" w:rsidP="00FF1864">
      <w:pPr>
        <w:jc w:val="both"/>
      </w:pPr>
    </w:p>
    <w:p w:rsidR="000114B8" w:rsidRDefault="000114B8" w:rsidP="000114B8">
      <w:pPr>
        <w:pStyle w:val="Titre1"/>
      </w:pPr>
      <w:bookmarkStart w:id="10" w:name="_Toc218523580"/>
      <w:r>
        <w:t>Géothermie</w:t>
      </w:r>
      <w:bookmarkEnd w:id="10"/>
    </w:p>
    <w:p w:rsidR="000114B8" w:rsidRDefault="000114B8" w:rsidP="00FF1864">
      <w:pPr>
        <w:jc w:val="both"/>
      </w:pPr>
    </w:p>
    <w:p w:rsidR="000114B8" w:rsidRPr="000114B8" w:rsidRDefault="000114B8" w:rsidP="000114B8">
      <w:pPr>
        <w:pBdr>
          <w:left w:val="single" w:sz="4" w:space="4" w:color="auto"/>
        </w:pBdr>
        <w:jc w:val="both"/>
        <w:rPr>
          <w:b/>
        </w:rPr>
      </w:pPr>
      <w:r w:rsidRPr="000114B8">
        <w:rPr>
          <w:b/>
        </w:rPr>
        <w:sym w:font="Wingdings" w:char="F0E8"/>
      </w:r>
      <w:r w:rsidRPr="000114B8">
        <w:rPr>
          <w:b/>
        </w:rPr>
        <w:t xml:space="preserve"> A</w:t>
      </w:r>
      <w:r w:rsidRPr="000114B8">
        <w:rPr>
          <w:b/>
        </w:rPr>
        <w:t>grément des experts en matière de géothermie de minime importance</w:t>
      </w:r>
    </w:p>
    <w:p w:rsidR="000114B8" w:rsidRDefault="000114B8" w:rsidP="000114B8">
      <w:pPr>
        <w:pStyle w:val="Textebrut"/>
        <w:pBdr>
          <w:left w:val="single" w:sz="4" w:space="4" w:color="auto"/>
        </w:pBdr>
        <w:jc w:val="both"/>
      </w:pPr>
    </w:p>
    <w:p w:rsidR="00C22661" w:rsidRPr="000114B8" w:rsidRDefault="000114B8" w:rsidP="000114B8">
      <w:pPr>
        <w:pStyle w:val="Textebrut"/>
        <w:pBdr>
          <w:left w:val="single" w:sz="4" w:space="4" w:color="auto"/>
        </w:pBdr>
        <w:jc w:val="both"/>
        <w:rPr>
          <w:i/>
        </w:rPr>
      </w:pPr>
      <w:hyperlink r:id="rId25" w:history="1">
        <w:r w:rsidR="00C22661" w:rsidRPr="000114B8">
          <w:rPr>
            <w:rStyle w:val="Lienhypertexte"/>
            <w:b/>
            <w:i/>
            <w:color w:val="auto"/>
          </w:rPr>
          <w:t xml:space="preserve">Arrêté du 24 décembre 2025 </w:t>
        </w:r>
        <w:r w:rsidR="00C22661" w:rsidRPr="000114B8">
          <w:rPr>
            <w:rStyle w:val="Lienhypertexte"/>
            <w:i/>
            <w:color w:val="auto"/>
          </w:rPr>
          <w:t>modifiant l'arrêté du 4 septembre 2015 portant agrément des experts en matière de géothermie de minime importance</w:t>
        </w:r>
      </w:hyperlink>
    </w:p>
    <w:p w:rsidR="00C22661" w:rsidRDefault="00C22661" w:rsidP="00FF1864">
      <w:pPr>
        <w:pStyle w:val="Textebrut"/>
        <w:jc w:val="both"/>
      </w:pPr>
    </w:p>
    <w:p w:rsidR="00644658" w:rsidRDefault="00644658" w:rsidP="00FF1864">
      <w:pPr>
        <w:pStyle w:val="Textebrut"/>
        <w:jc w:val="both"/>
      </w:pPr>
    </w:p>
    <w:p w:rsidR="00C22661" w:rsidRDefault="00C22661" w:rsidP="00FF1864">
      <w:pPr>
        <w:jc w:val="both"/>
      </w:pPr>
    </w:p>
    <w:p w:rsidR="000E6286" w:rsidRDefault="000E6286" w:rsidP="000E6286">
      <w:pPr>
        <w:pStyle w:val="Titre1"/>
      </w:pPr>
      <w:bookmarkStart w:id="11" w:name="_Toc218523581"/>
      <w:r>
        <w:t>Installations classées pour la protection de l’environnement</w:t>
      </w:r>
      <w:bookmarkEnd w:id="11"/>
    </w:p>
    <w:p w:rsidR="000E6286" w:rsidRDefault="000E6286" w:rsidP="000E6286">
      <w:pPr>
        <w:pStyle w:val="Textebrut"/>
        <w:jc w:val="both"/>
      </w:pPr>
    </w:p>
    <w:p w:rsidR="000E6286" w:rsidRPr="00260921" w:rsidRDefault="000E6286" w:rsidP="000E6286">
      <w:pPr>
        <w:pStyle w:val="Textebrut"/>
        <w:pBdr>
          <w:left w:val="single" w:sz="4" w:space="4" w:color="auto"/>
        </w:pBdr>
        <w:jc w:val="both"/>
        <w:rPr>
          <w:b/>
        </w:rPr>
      </w:pPr>
      <w:r w:rsidRPr="00260921">
        <w:rPr>
          <w:b/>
        </w:rPr>
        <w:sym w:font="Wingdings" w:char="F0E8"/>
      </w:r>
      <w:r w:rsidRPr="00260921">
        <w:rPr>
          <w:b/>
        </w:rPr>
        <w:t xml:space="preserve"> Rubriques 2971, 2714, 2716, 2731, 2771, 2780, 2781, 2782, 2783 ou 2791</w:t>
      </w:r>
    </w:p>
    <w:p w:rsidR="000E6286" w:rsidRDefault="000E6286" w:rsidP="000E6286">
      <w:pPr>
        <w:pStyle w:val="Textebrut"/>
        <w:pBdr>
          <w:left w:val="single" w:sz="4" w:space="4" w:color="auto"/>
        </w:pBdr>
        <w:jc w:val="both"/>
      </w:pPr>
    </w:p>
    <w:p w:rsidR="000E6286" w:rsidRDefault="000E6286" w:rsidP="000E6286">
      <w:pPr>
        <w:pStyle w:val="Textebrut"/>
        <w:pBdr>
          <w:left w:val="single" w:sz="4" w:space="4" w:color="auto"/>
        </w:pBdr>
        <w:jc w:val="both"/>
      </w:pPr>
      <w:r>
        <w:t>Le présent arrêté modifie les exigences de rendement énergétique des installations de production de chaleur et/ou d’électricité à partir de déchets non dangereux préparés sous forme de combustibles solides de récupération relevant de la rubrique 2971 de la nomenclature des installations classées pour la protection de l’environnement. Il clarifie ou modifie également certaines dispositions applicables à la préparation de combustibles solides de récupération et à leur utilisation en installations relevant de la rubrique 2971.</w:t>
      </w:r>
    </w:p>
    <w:p w:rsidR="000E6286" w:rsidRDefault="000E6286" w:rsidP="000E6286">
      <w:pPr>
        <w:pStyle w:val="Textebrut"/>
        <w:pBdr>
          <w:left w:val="single" w:sz="4" w:space="4" w:color="auto"/>
        </w:pBdr>
        <w:jc w:val="both"/>
      </w:pPr>
    </w:p>
    <w:p w:rsidR="000E6286" w:rsidRPr="00260921" w:rsidRDefault="000E6286" w:rsidP="000E6286">
      <w:pPr>
        <w:pStyle w:val="Textebrut"/>
        <w:pBdr>
          <w:left w:val="single" w:sz="4" w:space="4" w:color="auto"/>
        </w:pBdr>
        <w:jc w:val="both"/>
        <w:rPr>
          <w:i/>
          <w:color w:val="000000" w:themeColor="text1"/>
        </w:rPr>
      </w:pPr>
      <w:hyperlink r:id="rId26" w:history="1">
        <w:r w:rsidRPr="00260921">
          <w:rPr>
            <w:rStyle w:val="Lienhypertexte"/>
            <w:b/>
            <w:i/>
            <w:color w:val="000000" w:themeColor="text1"/>
          </w:rPr>
          <w:t>Arrêté du 1er décembre 2025</w:t>
        </w:r>
        <w:r w:rsidRPr="00260921">
          <w:rPr>
            <w:rStyle w:val="Lienhypertexte"/>
            <w:i/>
            <w:color w:val="000000" w:themeColor="text1"/>
          </w:rPr>
          <w:t xml:space="preserve"> modifiant l'arrêté du 23 mai 2016 relatif aux installations de production de chaleur et/ou d'électricité à partir de déchets non dangereux préparés sous forme de combustibles solides de récupération dans des installations prévues à cet effet associés ou non à un autre combustible et relevant de la rubrique 2971 de la nomenclature des installations classées pour la protection de l'environnement et l'arrêté du 23 mai 2016 relatif à la préparation des combustibles solides de récupération en vue de leur utilisation dans des installations relevant de la rubrique 2971 de la nomenclature des installations classées pour la protection de l'environnement</w:t>
        </w:r>
      </w:hyperlink>
    </w:p>
    <w:p w:rsidR="000E6286" w:rsidRDefault="000E6286" w:rsidP="000E6286">
      <w:pPr>
        <w:jc w:val="both"/>
      </w:pPr>
    </w:p>
    <w:p w:rsidR="000E6286" w:rsidRDefault="000E6286" w:rsidP="000E6286">
      <w:pPr>
        <w:jc w:val="both"/>
        <w:rPr>
          <w:rStyle w:val="Lienhypertexte"/>
          <w:color w:val="auto"/>
        </w:rPr>
      </w:pPr>
    </w:p>
    <w:p w:rsidR="00644658" w:rsidRPr="00644658" w:rsidRDefault="00644658" w:rsidP="000E6286">
      <w:pPr>
        <w:jc w:val="both"/>
        <w:rPr>
          <w:rStyle w:val="Lienhypertexte"/>
          <w:color w:val="auto"/>
        </w:rPr>
      </w:pPr>
    </w:p>
    <w:p w:rsidR="000E6286" w:rsidRDefault="000E6286" w:rsidP="000E6286">
      <w:pPr>
        <w:pStyle w:val="Titre1"/>
      </w:pPr>
      <w:bookmarkStart w:id="12" w:name="_Toc218523582"/>
      <w:r>
        <w:t>Institut national de l’environnement industriel</w:t>
      </w:r>
      <w:bookmarkEnd w:id="12"/>
    </w:p>
    <w:p w:rsidR="000E6286" w:rsidRDefault="000E6286" w:rsidP="000E6286">
      <w:pPr>
        <w:jc w:val="both"/>
      </w:pPr>
    </w:p>
    <w:p w:rsidR="000E6286" w:rsidRPr="007C563A" w:rsidRDefault="000E6286" w:rsidP="000E6286">
      <w:pPr>
        <w:pBdr>
          <w:left w:val="single" w:sz="4" w:space="4" w:color="auto"/>
        </w:pBdr>
        <w:jc w:val="both"/>
        <w:rPr>
          <w:b/>
        </w:rPr>
      </w:pPr>
      <w:r>
        <w:sym w:font="Wingdings" w:char="F0E8"/>
      </w:r>
      <w:r>
        <w:t xml:space="preserve"> </w:t>
      </w:r>
      <w:r w:rsidRPr="007C563A">
        <w:rPr>
          <w:b/>
        </w:rPr>
        <w:t xml:space="preserve">L’arrêté relatif aux </w:t>
      </w:r>
      <w:bookmarkStart w:id="13" w:name="_Hlk218501944"/>
      <w:r w:rsidRPr="007C563A">
        <w:rPr>
          <w:b/>
        </w:rPr>
        <w:t xml:space="preserve">comités d’orientation scientifique et technique de l’Institut national de l’environnement industriel </w:t>
      </w:r>
      <w:bookmarkEnd w:id="13"/>
      <w:r w:rsidRPr="007C563A">
        <w:rPr>
          <w:b/>
        </w:rPr>
        <w:t>et des risques est abrogé</w:t>
      </w:r>
    </w:p>
    <w:p w:rsidR="000E6286" w:rsidRDefault="000E6286" w:rsidP="000E6286">
      <w:pPr>
        <w:pBdr>
          <w:left w:val="single" w:sz="4" w:space="4" w:color="auto"/>
        </w:pBdr>
        <w:jc w:val="both"/>
      </w:pPr>
    </w:p>
    <w:p w:rsidR="000E6286" w:rsidRPr="0098358D" w:rsidRDefault="000E6286" w:rsidP="000E6286">
      <w:pPr>
        <w:pBdr>
          <w:left w:val="single" w:sz="4" w:space="4" w:color="auto"/>
        </w:pBdr>
        <w:jc w:val="both"/>
        <w:rPr>
          <w:i/>
          <w:color w:val="000000" w:themeColor="text1"/>
        </w:rPr>
      </w:pPr>
      <w:hyperlink r:id="rId27" w:history="1">
        <w:r w:rsidRPr="0098358D">
          <w:rPr>
            <w:rStyle w:val="Lienhypertexte"/>
            <w:b/>
            <w:i/>
            <w:color w:val="000000" w:themeColor="text1"/>
          </w:rPr>
          <w:t>Arrêté du 24 novembre 2025</w:t>
        </w:r>
        <w:r w:rsidRPr="0098358D">
          <w:rPr>
            <w:rStyle w:val="Lienhypertexte"/>
            <w:i/>
            <w:color w:val="000000" w:themeColor="text1"/>
          </w:rPr>
          <w:t xml:space="preserve"> abrogeant l'arrêté du 26 avril 2011 relatif aux comités d'orientation scientifique et technique de l'Institut national de l'environnement industriel et des risques</w:t>
        </w:r>
      </w:hyperlink>
    </w:p>
    <w:p w:rsidR="000E6286" w:rsidRDefault="000E6286" w:rsidP="000E6286">
      <w:pPr>
        <w:jc w:val="both"/>
      </w:pPr>
    </w:p>
    <w:p w:rsidR="00644658" w:rsidRDefault="00644658" w:rsidP="000E6286">
      <w:pPr>
        <w:jc w:val="both"/>
      </w:pPr>
    </w:p>
    <w:p w:rsidR="000E6286" w:rsidRDefault="000E6286" w:rsidP="000E6286">
      <w:pPr>
        <w:jc w:val="both"/>
      </w:pPr>
    </w:p>
    <w:p w:rsidR="000E6286" w:rsidRDefault="000E6286" w:rsidP="000E6286">
      <w:pPr>
        <w:pStyle w:val="Titre1"/>
      </w:pPr>
      <w:bookmarkStart w:id="14" w:name="_Toc218523583"/>
      <w:r>
        <w:lastRenderedPageBreak/>
        <w:t>Loi spéciale relative aux lois de finances</w:t>
      </w:r>
      <w:bookmarkEnd w:id="14"/>
    </w:p>
    <w:p w:rsidR="000E6286" w:rsidRDefault="000E6286" w:rsidP="000E6286">
      <w:pPr>
        <w:jc w:val="both"/>
      </w:pPr>
    </w:p>
    <w:p w:rsidR="000E6286" w:rsidRPr="00832C75" w:rsidRDefault="000E6286" w:rsidP="000E6286">
      <w:pPr>
        <w:pBdr>
          <w:left w:val="single" w:sz="4" w:space="4" w:color="auto"/>
        </w:pBdr>
        <w:jc w:val="both"/>
        <w:rPr>
          <w:b/>
        </w:rPr>
      </w:pPr>
      <w:r w:rsidRPr="00832C75">
        <w:rPr>
          <w:b/>
        </w:rPr>
        <w:sym w:font="Wingdings" w:char="F0E8"/>
      </w:r>
      <w:r w:rsidRPr="00832C75">
        <w:rPr>
          <w:b/>
        </w:rPr>
        <w:t xml:space="preserve"> Jusqu’à l’entrée en vigueur de la loi de finances pour 2026, la perception des ressources de l’Etat et des impositions</w:t>
      </w:r>
    </w:p>
    <w:p w:rsidR="000E6286" w:rsidRDefault="000E6286" w:rsidP="000E6286">
      <w:pPr>
        <w:pBdr>
          <w:left w:val="single" w:sz="4" w:space="4" w:color="auto"/>
        </w:pBdr>
        <w:jc w:val="both"/>
      </w:pPr>
    </w:p>
    <w:p w:rsidR="000E6286" w:rsidRPr="00832C75" w:rsidRDefault="000E6286" w:rsidP="000E6286">
      <w:pPr>
        <w:pStyle w:val="Textebrut"/>
        <w:pBdr>
          <w:left w:val="single" w:sz="4" w:space="4" w:color="auto"/>
        </w:pBdr>
        <w:jc w:val="both"/>
        <w:rPr>
          <w:b/>
          <w:i/>
        </w:rPr>
      </w:pPr>
      <w:hyperlink r:id="rId28" w:history="1">
        <w:r w:rsidRPr="00832C75">
          <w:rPr>
            <w:rStyle w:val="Lienhypertexte"/>
            <w:b/>
            <w:i/>
            <w:color w:val="auto"/>
          </w:rPr>
          <w:t xml:space="preserve">Loi n° 2025-1316 du 26 décembre 2025 spéciale </w:t>
        </w:r>
        <w:r w:rsidRPr="00832C75">
          <w:rPr>
            <w:rStyle w:val="Lienhypertexte"/>
            <w:i/>
            <w:color w:val="auto"/>
          </w:rPr>
          <w:t>prévue par l'article 45 de la loi organique n° 2001-692 du 1er août 2001 relative aux lois de finances (1)</w:t>
        </w:r>
      </w:hyperlink>
    </w:p>
    <w:p w:rsidR="00347591" w:rsidRDefault="00347591" w:rsidP="00347591">
      <w:pPr>
        <w:pStyle w:val="Textebrut"/>
        <w:jc w:val="both"/>
      </w:pPr>
    </w:p>
    <w:p w:rsidR="00347591" w:rsidRDefault="00347591" w:rsidP="00347591">
      <w:pPr>
        <w:pStyle w:val="Textebrut"/>
        <w:jc w:val="both"/>
      </w:pPr>
    </w:p>
    <w:p w:rsidR="00347591" w:rsidRDefault="00347591" w:rsidP="00347591">
      <w:pPr>
        <w:jc w:val="both"/>
      </w:pPr>
    </w:p>
    <w:p w:rsidR="00347591" w:rsidRDefault="00347591" w:rsidP="00347591">
      <w:pPr>
        <w:pStyle w:val="Titre1"/>
      </w:pPr>
      <w:bookmarkStart w:id="15" w:name="_Toc218523584"/>
      <w:r>
        <w:t>Performance énergétique des bâtiments</w:t>
      </w:r>
      <w:bookmarkEnd w:id="15"/>
    </w:p>
    <w:p w:rsidR="00347591" w:rsidRDefault="00347591" w:rsidP="00347591">
      <w:pPr>
        <w:jc w:val="both"/>
      </w:pPr>
    </w:p>
    <w:p w:rsidR="00347591" w:rsidRPr="00E46C2E" w:rsidRDefault="00347591" w:rsidP="00D3085B">
      <w:pPr>
        <w:pBdr>
          <w:left w:val="single" w:sz="4" w:space="4" w:color="auto"/>
        </w:pBdr>
        <w:jc w:val="both"/>
        <w:rPr>
          <w:b/>
        </w:rPr>
      </w:pPr>
      <w:r w:rsidRPr="00E46C2E">
        <w:rPr>
          <w:b/>
        </w:rPr>
        <w:sym w:font="Wingdings" w:char="F0E8"/>
      </w:r>
      <w:r w:rsidRPr="00E46C2E">
        <w:rPr>
          <w:b/>
        </w:rPr>
        <w:t xml:space="preserve"> Modification du calendrier de mise en œuvre de certaines dispositions des décrets relatifs aux systèmes d’automatisation et de contrôle des bâtiments tertiaires, aux systèmes de régulation de la température des systèmes de chauffage et de refroidissement et au calorifugeage des réseaux de distribution de chaleur et de froid relatives aux bâtiments existants</w:t>
      </w:r>
    </w:p>
    <w:p w:rsidR="00347591" w:rsidRDefault="00347591" w:rsidP="00D3085B">
      <w:pPr>
        <w:pBdr>
          <w:left w:val="single" w:sz="4" w:space="4" w:color="auto"/>
        </w:pBdr>
        <w:jc w:val="both"/>
      </w:pPr>
    </w:p>
    <w:p w:rsidR="00347591" w:rsidRPr="008B77B8" w:rsidRDefault="00347591" w:rsidP="00D3085B">
      <w:pPr>
        <w:pStyle w:val="Textebrut"/>
        <w:pBdr>
          <w:left w:val="single" w:sz="4" w:space="4" w:color="auto"/>
        </w:pBdr>
        <w:jc w:val="both"/>
        <w:rPr>
          <w:i/>
        </w:rPr>
      </w:pPr>
      <w:hyperlink r:id="rId29" w:history="1">
        <w:r w:rsidRPr="008B77B8">
          <w:rPr>
            <w:rStyle w:val="Lienhypertexte"/>
            <w:b/>
            <w:i/>
            <w:color w:val="auto"/>
          </w:rPr>
          <w:t xml:space="preserve">Décret n° 2025-1343 du 26 décembre 2025 </w:t>
        </w:r>
        <w:r w:rsidRPr="008B77B8">
          <w:rPr>
            <w:rStyle w:val="Lienhypertexte"/>
            <w:i/>
            <w:color w:val="auto"/>
          </w:rPr>
          <w:t>modifiant les dates d'application des obligations concernant les systèmes d'automatisation et de contrôle des bâtiments tertiaires, les systèmes de régulation de la température des systèmes de chauffage et de refroidissement, et le calorifugeage des réseaux de distribution de chaleur et de froid</w:t>
        </w:r>
      </w:hyperlink>
    </w:p>
    <w:p w:rsidR="00347591" w:rsidRDefault="00347591" w:rsidP="00347591">
      <w:pPr>
        <w:jc w:val="both"/>
      </w:pPr>
    </w:p>
    <w:p w:rsidR="00D3085B" w:rsidRDefault="00D3085B" w:rsidP="00347591">
      <w:pPr>
        <w:jc w:val="both"/>
      </w:pPr>
    </w:p>
    <w:p w:rsidR="00D3085B" w:rsidRDefault="00D3085B" w:rsidP="00347591">
      <w:pPr>
        <w:jc w:val="both"/>
      </w:pPr>
    </w:p>
    <w:p w:rsidR="000E6286" w:rsidRDefault="000E6286" w:rsidP="000E6286">
      <w:pPr>
        <w:pStyle w:val="Titre1"/>
      </w:pPr>
      <w:bookmarkStart w:id="16" w:name="_Toc218523585"/>
      <w:r>
        <w:t>P</w:t>
      </w:r>
      <w:r w:rsidRPr="00A84207">
        <w:t>erformance énergétique des logements anciens</w:t>
      </w:r>
      <w:bookmarkEnd w:id="16"/>
    </w:p>
    <w:p w:rsidR="000E6286" w:rsidRDefault="000E6286" w:rsidP="000E6286">
      <w:pPr>
        <w:pStyle w:val="Textebrut"/>
        <w:jc w:val="both"/>
      </w:pPr>
    </w:p>
    <w:p w:rsidR="000E6286" w:rsidRPr="00CC1744" w:rsidRDefault="000E6286" w:rsidP="000E6286">
      <w:pPr>
        <w:pStyle w:val="Textebrut"/>
        <w:pBdr>
          <w:left w:val="single" w:sz="4" w:space="4" w:color="auto"/>
        </w:pBdr>
        <w:jc w:val="both"/>
        <w:rPr>
          <w:b/>
        </w:rPr>
      </w:pPr>
      <w:r w:rsidRPr="00CC1744">
        <w:rPr>
          <w:b/>
        </w:rPr>
        <w:sym w:font="Wingdings" w:char="F0E8"/>
      </w:r>
      <w:r w:rsidRPr="00CC1744">
        <w:rPr>
          <w:b/>
        </w:rPr>
        <w:t xml:space="preserve"> Actualisation des plafonds de ressources applicables aux bénéficiaires d’offres de prêts avance mutation ne portant pas intérêt</w:t>
      </w:r>
    </w:p>
    <w:p w:rsidR="000E6286" w:rsidRDefault="000E6286" w:rsidP="000E6286">
      <w:pPr>
        <w:pStyle w:val="Textebrut"/>
        <w:pBdr>
          <w:left w:val="single" w:sz="4" w:space="4" w:color="auto"/>
        </w:pBdr>
        <w:jc w:val="both"/>
      </w:pPr>
    </w:p>
    <w:p w:rsidR="000E6286" w:rsidRDefault="000E6286" w:rsidP="000E6286">
      <w:pPr>
        <w:pStyle w:val="Textebrut"/>
        <w:pBdr>
          <w:left w:val="single" w:sz="4" w:space="4" w:color="auto"/>
        </w:pBdr>
        <w:jc w:val="both"/>
      </w:pPr>
      <w:r>
        <w:t>Le présent arrêté actualise les plafonds de ressources applicables aux bénéficiaires d’offres de prêts avance mutation ne portant pas intérêt à compter du 1er janvier 2026. Les plafonds de ressources précités correspondent à ceux des ménages « modestes » selon le barème fixé par l’Agence nationale de l’habitat applicable à compter du 1er janvier 2026.</w:t>
      </w:r>
    </w:p>
    <w:p w:rsidR="000E6286" w:rsidRDefault="000E6286" w:rsidP="000E6286">
      <w:pPr>
        <w:pStyle w:val="Textebrut"/>
        <w:pBdr>
          <w:left w:val="single" w:sz="4" w:space="4" w:color="auto"/>
        </w:pBdr>
        <w:jc w:val="both"/>
      </w:pPr>
    </w:p>
    <w:p w:rsidR="000E6286" w:rsidRPr="00FE2A7C" w:rsidRDefault="000E6286" w:rsidP="000E6286">
      <w:pPr>
        <w:pStyle w:val="Textebrut"/>
        <w:pBdr>
          <w:left w:val="single" w:sz="4" w:space="4" w:color="auto"/>
        </w:pBdr>
        <w:jc w:val="both"/>
        <w:rPr>
          <w:i/>
          <w:color w:val="000000" w:themeColor="text1"/>
        </w:rPr>
      </w:pPr>
      <w:hyperlink r:id="rId30" w:history="1">
        <w:r w:rsidRPr="00FE2A7C">
          <w:rPr>
            <w:rStyle w:val="Lienhypertexte"/>
            <w:b/>
            <w:i/>
            <w:color w:val="000000" w:themeColor="text1"/>
          </w:rPr>
          <w:t>Arrêté du 10 décembre 2025</w:t>
        </w:r>
        <w:r w:rsidRPr="00FE2A7C">
          <w:rPr>
            <w:rStyle w:val="Lienhypertexte"/>
            <w:i/>
            <w:color w:val="000000" w:themeColor="text1"/>
          </w:rPr>
          <w:t xml:space="preserve"> relatif aux conditions de ressources applicables au prêt avance mutation ne portant pas intérêt destiné au financement de travaux permettant d'améliorer la performance énergétique des logements anciens</w:t>
        </w:r>
      </w:hyperlink>
    </w:p>
    <w:p w:rsidR="000E6286" w:rsidRDefault="000E6286" w:rsidP="000E6286">
      <w:pPr>
        <w:jc w:val="both"/>
      </w:pPr>
    </w:p>
    <w:p w:rsidR="00D3085B" w:rsidRDefault="00D3085B" w:rsidP="000E6286">
      <w:pPr>
        <w:jc w:val="both"/>
      </w:pPr>
    </w:p>
    <w:p w:rsidR="000E6286" w:rsidRDefault="000E6286" w:rsidP="000E6286">
      <w:pPr>
        <w:jc w:val="both"/>
      </w:pPr>
    </w:p>
    <w:p w:rsidR="000E6286" w:rsidRDefault="000E6286" w:rsidP="000E6286">
      <w:pPr>
        <w:pStyle w:val="Titre1"/>
      </w:pPr>
      <w:bookmarkStart w:id="17" w:name="_Toc218523586"/>
      <w:r>
        <w:t>Recensement de la population</w:t>
      </w:r>
      <w:bookmarkEnd w:id="17"/>
    </w:p>
    <w:p w:rsidR="000E6286" w:rsidRDefault="000E6286" w:rsidP="000E6286">
      <w:pPr>
        <w:pStyle w:val="Textebrut"/>
        <w:jc w:val="both"/>
      </w:pPr>
    </w:p>
    <w:p w:rsidR="000E6286" w:rsidRPr="00F345BE" w:rsidRDefault="000E6286" w:rsidP="000E6286">
      <w:pPr>
        <w:pStyle w:val="Textebrut"/>
        <w:pBdr>
          <w:left w:val="single" w:sz="4" w:space="4" w:color="auto"/>
        </w:pBdr>
        <w:jc w:val="both"/>
        <w:rPr>
          <w:b/>
        </w:rPr>
      </w:pPr>
      <w:r w:rsidRPr="00F345BE">
        <w:rPr>
          <w:b/>
        </w:rPr>
        <w:sym w:font="Wingdings" w:char="F0E8"/>
      </w:r>
      <w:r w:rsidRPr="00F345BE">
        <w:rPr>
          <w:b/>
        </w:rPr>
        <w:t xml:space="preserve"> Chiffres des populations de métropole, des départements d’outre-mer, et des collectivités</w:t>
      </w:r>
    </w:p>
    <w:p w:rsidR="000E6286" w:rsidRDefault="000E6286" w:rsidP="000E6286">
      <w:pPr>
        <w:pStyle w:val="Textebrut"/>
        <w:pBdr>
          <w:left w:val="single" w:sz="4" w:space="4" w:color="auto"/>
        </w:pBdr>
        <w:jc w:val="both"/>
      </w:pPr>
    </w:p>
    <w:p w:rsidR="000E6286" w:rsidRPr="008D134C" w:rsidRDefault="000E6286" w:rsidP="000E6286">
      <w:pPr>
        <w:pStyle w:val="Textebrut"/>
        <w:pBdr>
          <w:left w:val="single" w:sz="4" w:space="4" w:color="auto"/>
        </w:pBdr>
        <w:jc w:val="both"/>
        <w:rPr>
          <w:i/>
        </w:rPr>
      </w:pPr>
      <w:hyperlink r:id="rId31" w:history="1">
        <w:r w:rsidRPr="008D134C">
          <w:rPr>
            <w:rStyle w:val="Lienhypertexte"/>
            <w:b/>
            <w:i/>
            <w:color w:val="auto"/>
          </w:rPr>
          <w:t>Décret n° 2025-1362 du 26 décembre 2025</w:t>
        </w:r>
        <w:r w:rsidRPr="008D134C">
          <w:rPr>
            <w:rStyle w:val="Lienhypertexte"/>
            <w:i/>
            <w:color w:val="auto"/>
          </w:rPr>
          <w:t xml:space="preserve"> authentifiant les chiffres des populations de métropole, des départements d'outre-mer de la Guadeloupe, de la Guyane, de la Martinique et de La Réunion et des collectivités de Saint-Barthélemy, de Saint-Martin et de Saint-Pierre-et-Miquelon</w:t>
        </w:r>
      </w:hyperlink>
    </w:p>
    <w:p w:rsidR="00347591" w:rsidRDefault="00347591" w:rsidP="00347591">
      <w:pPr>
        <w:jc w:val="both"/>
      </w:pPr>
    </w:p>
    <w:p w:rsidR="00D3085B" w:rsidRDefault="00D3085B" w:rsidP="00347591">
      <w:pPr>
        <w:jc w:val="both"/>
      </w:pPr>
    </w:p>
    <w:p w:rsidR="00D3085B" w:rsidRDefault="00D3085B" w:rsidP="00347591">
      <w:pPr>
        <w:jc w:val="both"/>
      </w:pPr>
    </w:p>
    <w:p w:rsidR="00347591" w:rsidRDefault="00347591" w:rsidP="00347591">
      <w:pPr>
        <w:pStyle w:val="Titre1"/>
      </w:pPr>
      <w:bookmarkStart w:id="18" w:name="_Toc218523587"/>
      <w:r>
        <w:t>Transport maritime</w:t>
      </w:r>
      <w:bookmarkEnd w:id="18"/>
    </w:p>
    <w:p w:rsidR="00347591" w:rsidRDefault="00347591" w:rsidP="00347591">
      <w:pPr>
        <w:jc w:val="both"/>
      </w:pPr>
    </w:p>
    <w:p w:rsidR="00347591" w:rsidRPr="00C010F4" w:rsidRDefault="00347591" w:rsidP="00347591">
      <w:pPr>
        <w:pStyle w:val="Textebrut"/>
        <w:pBdr>
          <w:left w:val="single" w:sz="4" w:space="4" w:color="auto"/>
        </w:pBdr>
        <w:jc w:val="both"/>
        <w:rPr>
          <w:b/>
        </w:rPr>
      </w:pPr>
      <w:r w:rsidRPr="00C010F4">
        <w:rPr>
          <w:b/>
        </w:rPr>
        <w:sym w:font="Wingdings" w:char="F0E8"/>
      </w:r>
      <w:r w:rsidRPr="00C010F4">
        <w:rPr>
          <w:b/>
        </w:rPr>
        <w:t xml:space="preserve"> Utilisation de carburants renouvelables et bas carbone dans le transport maritime</w:t>
      </w:r>
    </w:p>
    <w:p w:rsidR="00347591" w:rsidRDefault="00347591" w:rsidP="00347591">
      <w:pPr>
        <w:pStyle w:val="Textebrut"/>
        <w:pBdr>
          <w:left w:val="single" w:sz="4" w:space="4" w:color="auto"/>
        </w:pBdr>
        <w:jc w:val="both"/>
        <w:rPr>
          <w:i/>
        </w:rPr>
      </w:pPr>
    </w:p>
    <w:p w:rsidR="00347591" w:rsidRDefault="00347591" w:rsidP="00347591">
      <w:pPr>
        <w:pStyle w:val="Textebrut"/>
        <w:pBdr>
          <w:left w:val="single" w:sz="4" w:space="4" w:color="auto"/>
        </w:pBdr>
        <w:jc w:val="both"/>
      </w:pPr>
      <w:r>
        <w:t xml:space="preserve">Le présent décret désigne le ministre chargé de la mer comme l’autorité compétente pour assurer l’exécution des obligations incombant aux compagnies maritimes prévues à l’article 2 du règlement (UE) 2023/1805 du Parlement européen et du Conseil du 13 septembre 2023 relatif à l’utilisation de carburants renouvelables et bas carbone dans le transport maritime et modifiant la directive 2009/16/CE. </w:t>
      </w:r>
    </w:p>
    <w:p w:rsidR="00347591" w:rsidRDefault="00347591" w:rsidP="00347591">
      <w:pPr>
        <w:pStyle w:val="Textebrut"/>
        <w:pBdr>
          <w:left w:val="single" w:sz="4" w:space="4" w:color="auto"/>
        </w:pBdr>
        <w:jc w:val="both"/>
      </w:pPr>
    </w:p>
    <w:p w:rsidR="00347591" w:rsidRPr="00C010F4" w:rsidRDefault="00347591" w:rsidP="00347591">
      <w:pPr>
        <w:pStyle w:val="Textebrut"/>
        <w:pBdr>
          <w:left w:val="single" w:sz="4" w:space="4" w:color="auto"/>
        </w:pBdr>
        <w:jc w:val="both"/>
      </w:pPr>
      <w:r>
        <w:t>A ce titre, le ministre chargé de la mer détermine notamment le montant des amendes administratives prises en application de l’article 23 du règlement et prononce les sanctions administratives prises en application de l’article 25 du règlement. Enfin, des possibilités de dérogation aux obligations du règlement (UE) 2023/1805 peuvent être prévues par chaque Etat membre, notamment en ce qui concerne les trajets entre deux régions ultrapériphériques.</w:t>
      </w:r>
    </w:p>
    <w:p w:rsidR="00347591" w:rsidRDefault="00347591" w:rsidP="00347591">
      <w:pPr>
        <w:pStyle w:val="Textebrut"/>
        <w:pBdr>
          <w:left w:val="single" w:sz="4" w:space="4" w:color="auto"/>
        </w:pBdr>
        <w:jc w:val="both"/>
        <w:rPr>
          <w:i/>
        </w:rPr>
      </w:pPr>
    </w:p>
    <w:p w:rsidR="00347591" w:rsidRPr="00C010F4" w:rsidRDefault="00347591" w:rsidP="00347591">
      <w:pPr>
        <w:pStyle w:val="Textebrut"/>
        <w:pBdr>
          <w:left w:val="single" w:sz="4" w:space="4" w:color="auto"/>
        </w:pBdr>
        <w:jc w:val="both"/>
        <w:rPr>
          <w:i/>
        </w:rPr>
      </w:pPr>
      <w:hyperlink r:id="rId32" w:history="1">
        <w:r w:rsidRPr="00C010F4">
          <w:rPr>
            <w:rStyle w:val="Lienhypertexte"/>
            <w:b/>
            <w:i/>
            <w:color w:val="auto"/>
          </w:rPr>
          <w:t>Décret n° 2025-1353 du 26 décembre 2025</w:t>
        </w:r>
        <w:r w:rsidRPr="00C010F4">
          <w:rPr>
            <w:rStyle w:val="Lienhypertexte"/>
            <w:i/>
            <w:color w:val="auto"/>
          </w:rPr>
          <w:t xml:space="preserve"> relatif à l'utilisation de carburants renouvelables et bas carbone dans le transport maritime</w:t>
        </w:r>
      </w:hyperlink>
    </w:p>
    <w:p w:rsidR="00347591" w:rsidRDefault="00347591" w:rsidP="00347591">
      <w:pPr>
        <w:pStyle w:val="Textebrut"/>
        <w:jc w:val="both"/>
      </w:pPr>
    </w:p>
    <w:p w:rsidR="00347591" w:rsidRDefault="00347591" w:rsidP="00347591">
      <w:pPr>
        <w:jc w:val="both"/>
      </w:pPr>
    </w:p>
    <w:p w:rsidR="00347591" w:rsidRDefault="00347591" w:rsidP="00347591">
      <w:pPr>
        <w:jc w:val="both"/>
      </w:pPr>
      <w:bookmarkStart w:id="19" w:name="_GoBack"/>
      <w:bookmarkEnd w:id="19"/>
    </w:p>
    <w:sectPr w:rsidR="00347591">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97E" w:rsidRDefault="006B497E" w:rsidP="00D92460">
      <w:r>
        <w:separator/>
      </w:r>
    </w:p>
  </w:endnote>
  <w:endnote w:type="continuationSeparator" w:id="0">
    <w:p w:rsidR="006B497E" w:rsidRDefault="006B497E" w:rsidP="00D9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91846"/>
      <w:docPartObj>
        <w:docPartGallery w:val="Page Numbers (Bottom of Page)"/>
        <w:docPartUnique/>
      </w:docPartObj>
    </w:sdtPr>
    <w:sdtEndPr/>
    <w:sdtContent>
      <w:p w:rsidR="00D92460" w:rsidRDefault="00D92460">
        <w:pPr>
          <w:pStyle w:val="Pieddepage"/>
          <w:jc w:val="right"/>
        </w:pPr>
        <w:r>
          <w:fldChar w:fldCharType="begin"/>
        </w:r>
        <w:r>
          <w:instrText>PAGE   \* MERGEFORMAT</w:instrText>
        </w:r>
        <w:r>
          <w:fldChar w:fldCharType="separate"/>
        </w:r>
        <w:r>
          <w:t>2</w:t>
        </w:r>
        <w:r>
          <w:fldChar w:fldCharType="end"/>
        </w:r>
      </w:p>
    </w:sdtContent>
  </w:sdt>
  <w:p w:rsidR="00D92460" w:rsidRDefault="00D924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97E" w:rsidRDefault="006B497E" w:rsidP="00D92460">
      <w:r>
        <w:separator/>
      </w:r>
    </w:p>
  </w:footnote>
  <w:footnote w:type="continuationSeparator" w:id="0">
    <w:p w:rsidR="006B497E" w:rsidRDefault="006B497E" w:rsidP="00D9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3662"/>
    <w:multiLevelType w:val="hybridMultilevel"/>
    <w:tmpl w:val="9B8A9D78"/>
    <w:lvl w:ilvl="0" w:tplc="36887A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7D56FE"/>
    <w:multiLevelType w:val="hybridMultilevel"/>
    <w:tmpl w:val="23E4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F91F3D"/>
    <w:multiLevelType w:val="hybridMultilevel"/>
    <w:tmpl w:val="4662A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683F19"/>
    <w:multiLevelType w:val="hybridMultilevel"/>
    <w:tmpl w:val="C1C6402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4"/>
    <w:rsid w:val="000114B8"/>
    <w:rsid w:val="0003562B"/>
    <w:rsid w:val="000508E4"/>
    <w:rsid w:val="0006248D"/>
    <w:rsid w:val="0008225C"/>
    <w:rsid w:val="000E3A76"/>
    <w:rsid w:val="000E6286"/>
    <w:rsid w:val="00113B26"/>
    <w:rsid w:val="00114B69"/>
    <w:rsid w:val="00124168"/>
    <w:rsid w:val="001560E5"/>
    <w:rsid w:val="001A3B44"/>
    <w:rsid w:val="00260921"/>
    <w:rsid w:val="00297934"/>
    <w:rsid w:val="002B2D22"/>
    <w:rsid w:val="002E5509"/>
    <w:rsid w:val="002F3015"/>
    <w:rsid w:val="0031157D"/>
    <w:rsid w:val="0032730B"/>
    <w:rsid w:val="00347591"/>
    <w:rsid w:val="003B61AA"/>
    <w:rsid w:val="00453E7A"/>
    <w:rsid w:val="00455BD6"/>
    <w:rsid w:val="00457DE2"/>
    <w:rsid w:val="00481309"/>
    <w:rsid w:val="004D5A75"/>
    <w:rsid w:val="00597FBD"/>
    <w:rsid w:val="005E7ED0"/>
    <w:rsid w:val="00615302"/>
    <w:rsid w:val="006442C3"/>
    <w:rsid w:val="00644658"/>
    <w:rsid w:val="006A1C2E"/>
    <w:rsid w:val="006B497E"/>
    <w:rsid w:val="006C65A9"/>
    <w:rsid w:val="00717478"/>
    <w:rsid w:val="00717692"/>
    <w:rsid w:val="00723262"/>
    <w:rsid w:val="00731C35"/>
    <w:rsid w:val="00734752"/>
    <w:rsid w:val="00776855"/>
    <w:rsid w:val="007C563A"/>
    <w:rsid w:val="007D3F89"/>
    <w:rsid w:val="007E695A"/>
    <w:rsid w:val="007E7380"/>
    <w:rsid w:val="008044BB"/>
    <w:rsid w:val="00832C75"/>
    <w:rsid w:val="00845A70"/>
    <w:rsid w:val="00866343"/>
    <w:rsid w:val="008A0D83"/>
    <w:rsid w:val="008A2145"/>
    <w:rsid w:val="008B77B8"/>
    <w:rsid w:val="008C1373"/>
    <w:rsid w:val="008D134C"/>
    <w:rsid w:val="008F2EFB"/>
    <w:rsid w:val="008F78E8"/>
    <w:rsid w:val="00906028"/>
    <w:rsid w:val="00931773"/>
    <w:rsid w:val="00964BD0"/>
    <w:rsid w:val="0098358D"/>
    <w:rsid w:val="00A27679"/>
    <w:rsid w:val="00A67E1F"/>
    <w:rsid w:val="00A71AE3"/>
    <w:rsid w:val="00A84207"/>
    <w:rsid w:val="00AA77E4"/>
    <w:rsid w:val="00AB6FA7"/>
    <w:rsid w:val="00B02917"/>
    <w:rsid w:val="00B11543"/>
    <w:rsid w:val="00B91B37"/>
    <w:rsid w:val="00C010F4"/>
    <w:rsid w:val="00C179C1"/>
    <w:rsid w:val="00C22661"/>
    <w:rsid w:val="00C44074"/>
    <w:rsid w:val="00CC1744"/>
    <w:rsid w:val="00CC49D3"/>
    <w:rsid w:val="00CF70B7"/>
    <w:rsid w:val="00D3085B"/>
    <w:rsid w:val="00D8438E"/>
    <w:rsid w:val="00D92460"/>
    <w:rsid w:val="00DB6477"/>
    <w:rsid w:val="00DC0BB1"/>
    <w:rsid w:val="00E008B1"/>
    <w:rsid w:val="00E1393A"/>
    <w:rsid w:val="00E46C2E"/>
    <w:rsid w:val="00E53CE0"/>
    <w:rsid w:val="00E57F8F"/>
    <w:rsid w:val="00E71268"/>
    <w:rsid w:val="00EB3410"/>
    <w:rsid w:val="00EB5104"/>
    <w:rsid w:val="00EB61E4"/>
    <w:rsid w:val="00EE5D4B"/>
    <w:rsid w:val="00EF29B5"/>
    <w:rsid w:val="00F345BE"/>
    <w:rsid w:val="00F66832"/>
    <w:rsid w:val="00F80383"/>
    <w:rsid w:val="00F83B87"/>
    <w:rsid w:val="00FE2A7C"/>
    <w:rsid w:val="00FE44F3"/>
    <w:rsid w:val="00FE620C"/>
    <w:rsid w:val="00FF18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F6F1"/>
  <w15:chartTrackingRefBased/>
  <w15:docId w15:val="{FB111CA6-0AA6-48FD-BC14-C00BBB36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04"/>
    <w:pPr>
      <w:spacing w:after="0" w:line="240" w:lineRule="auto"/>
    </w:pPr>
  </w:style>
  <w:style w:type="paragraph" w:styleId="Titre1">
    <w:name w:val="heading 1"/>
    <w:basedOn w:val="Normal"/>
    <w:next w:val="Normal"/>
    <w:link w:val="Titre1Car"/>
    <w:uiPriority w:val="9"/>
    <w:qFormat/>
    <w:rsid w:val="007C563A"/>
    <w:pPr>
      <w:keepNext/>
      <w:keepLines/>
      <w:spacing w:before="240"/>
      <w:jc w:val="both"/>
      <w:outlineLvl w:val="0"/>
    </w:pPr>
    <w:rPr>
      <w:rFonts w:ascii="Calibri" w:eastAsiaTheme="majorEastAsia" w:hAnsi="Calibri" w:cstheme="majorBidi"/>
      <w:b/>
      <w:i/>
      <w:color w:val="0070C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5104"/>
    <w:rPr>
      <w:color w:val="0563C1" w:themeColor="hyperlink"/>
      <w:u w:val="single"/>
    </w:rPr>
  </w:style>
  <w:style w:type="paragraph" w:styleId="Textebrut">
    <w:name w:val="Plain Text"/>
    <w:basedOn w:val="Normal"/>
    <w:link w:val="TextebrutCar"/>
    <w:uiPriority w:val="99"/>
    <w:unhideWhenUsed/>
    <w:rsid w:val="00EB5104"/>
    <w:rPr>
      <w:rFonts w:ascii="Calibri" w:hAnsi="Calibri"/>
      <w:szCs w:val="21"/>
    </w:rPr>
  </w:style>
  <w:style w:type="character" w:customStyle="1" w:styleId="TextebrutCar">
    <w:name w:val="Texte brut Car"/>
    <w:basedOn w:val="Policepardfaut"/>
    <w:link w:val="Textebrut"/>
    <w:uiPriority w:val="99"/>
    <w:rsid w:val="00EB5104"/>
    <w:rPr>
      <w:rFonts w:ascii="Calibri" w:hAnsi="Calibri"/>
      <w:szCs w:val="21"/>
    </w:rPr>
  </w:style>
  <w:style w:type="character" w:styleId="Mentionnonrsolue">
    <w:name w:val="Unresolved Mention"/>
    <w:basedOn w:val="Policepardfaut"/>
    <w:uiPriority w:val="99"/>
    <w:semiHidden/>
    <w:unhideWhenUsed/>
    <w:rsid w:val="00906028"/>
    <w:rPr>
      <w:color w:val="605E5C"/>
      <w:shd w:val="clear" w:color="auto" w:fill="E1DFDD"/>
    </w:rPr>
  </w:style>
  <w:style w:type="character" w:styleId="Lienhypertextesuivivisit">
    <w:name w:val="FollowedHyperlink"/>
    <w:basedOn w:val="Policepardfaut"/>
    <w:uiPriority w:val="99"/>
    <w:semiHidden/>
    <w:unhideWhenUsed/>
    <w:rsid w:val="0006248D"/>
    <w:rPr>
      <w:color w:val="954F72" w:themeColor="followedHyperlink"/>
      <w:u w:val="single"/>
    </w:rPr>
  </w:style>
  <w:style w:type="paragraph" w:styleId="En-tte">
    <w:name w:val="header"/>
    <w:basedOn w:val="Normal"/>
    <w:link w:val="En-tteCar"/>
    <w:uiPriority w:val="99"/>
    <w:unhideWhenUsed/>
    <w:rsid w:val="00D92460"/>
    <w:pPr>
      <w:tabs>
        <w:tab w:val="center" w:pos="4536"/>
        <w:tab w:val="right" w:pos="9072"/>
      </w:tabs>
    </w:pPr>
  </w:style>
  <w:style w:type="character" w:customStyle="1" w:styleId="En-tteCar">
    <w:name w:val="En-tête Car"/>
    <w:basedOn w:val="Policepardfaut"/>
    <w:link w:val="En-tte"/>
    <w:uiPriority w:val="99"/>
    <w:rsid w:val="00D92460"/>
  </w:style>
  <w:style w:type="paragraph" w:styleId="Pieddepage">
    <w:name w:val="footer"/>
    <w:basedOn w:val="Normal"/>
    <w:link w:val="PieddepageCar"/>
    <w:uiPriority w:val="99"/>
    <w:unhideWhenUsed/>
    <w:rsid w:val="00D92460"/>
    <w:pPr>
      <w:tabs>
        <w:tab w:val="center" w:pos="4536"/>
        <w:tab w:val="right" w:pos="9072"/>
      </w:tabs>
    </w:pPr>
  </w:style>
  <w:style w:type="character" w:customStyle="1" w:styleId="PieddepageCar">
    <w:name w:val="Pied de page Car"/>
    <w:basedOn w:val="Policepardfaut"/>
    <w:link w:val="Pieddepage"/>
    <w:uiPriority w:val="99"/>
    <w:rsid w:val="00D92460"/>
  </w:style>
  <w:style w:type="character" w:customStyle="1" w:styleId="Titre1Car">
    <w:name w:val="Titre 1 Car"/>
    <w:basedOn w:val="Policepardfaut"/>
    <w:link w:val="Titre1"/>
    <w:uiPriority w:val="9"/>
    <w:rsid w:val="007C563A"/>
    <w:rPr>
      <w:rFonts w:ascii="Calibri" w:eastAsiaTheme="majorEastAsia" w:hAnsi="Calibri" w:cstheme="majorBidi"/>
      <w:b/>
      <w:i/>
      <w:color w:val="0070C0"/>
      <w:sz w:val="28"/>
      <w:szCs w:val="32"/>
    </w:rPr>
  </w:style>
  <w:style w:type="paragraph" w:styleId="En-ttedetabledesmatires">
    <w:name w:val="TOC Heading"/>
    <w:basedOn w:val="Titre1"/>
    <w:next w:val="Normal"/>
    <w:uiPriority w:val="39"/>
    <w:unhideWhenUsed/>
    <w:qFormat/>
    <w:rsid w:val="00481309"/>
    <w:pPr>
      <w:spacing w:line="259" w:lineRule="auto"/>
      <w:outlineLvl w:val="9"/>
    </w:pPr>
    <w:rPr>
      <w:rFonts w:asciiTheme="majorHAnsi" w:hAnsiTheme="majorHAnsi"/>
      <w:b w:val="0"/>
      <w:i w:val="0"/>
      <w:color w:val="2F5496" w:themeColor="accent1" w:themeShade="BF"/>
      <w:sz w:val="32"/>
      <w:lang w:eastAsia="fr-FR"/>
    </w:rPr>
  </w:style>
  <w:style w:type="paragraph" w:styleId="TM1">
    <w:name w:val="toc 1"/>
    <w:basedOn w:val="Normal"/>
    <w:next w:val="Normal"/>
    <w:autoRedefine/>
    <w:uiPriority w:val="39"/>
    <w:unhideWhenUsed/>
    <w:rsid w:val="00481309"/>
    <w:pPr>
      <w:spacing w:after="100"/>
    </w:pPr>
  </w:style>
  <w:style w:type="paragraph" w:styleId="Paragraphedeliste">
    <w:name w:val="List Paragraph"/>
    <w:basedOn w:val="Normal"/>
    <w:uiPriority w:val="34"/>
    <w:qFormat/>
    <w:rsid w:val="007C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6842">
      <w:bodyDiv w:val="1"/>
      <w:marLeft w:val="0"/>
      <w:marRight w:val="0"/>
      <w:marTop w:val="0"/>
      <w:marBottom w:val="0"/>
      <w:divBdr>
        <w:top w:val="none" w:sz="0" w:space="0" w:color="auto"/>
        <w:left w:val="none" w:sz="0" w:space="0" w:color="auto"/>
        <w:bottom w:val="none" w:sz="0" w:space="0" w:color="auto"/>
        <w:right w:val="none" w:sz="0" w:space="0" w:color="auto"/>
      </w:divBdr>
    </w:div>
    <w:div w:id="188491024">
      <w:bodyDiv w:val="1"/>
      <w:marLeft w:val="0"/>
      <w:marRight w:val="0"/>
      <w:marTop w:val="0"/>
      <w:marBottom w:val="0"/>
      <w:divBdr>
        <w:top w:val="none" w:sz="0" w:space="0" w:color="auto"/>
        <w:left w:val="none" w:sz="0" w:space="0" w:color="auto"/>
        <w:bottom w:val="none" w:sz="0" w:space="0" w:color="auto"/>
        <w:right w:val="none" w:sz="0" w:space="0" w:color="auto"/>
      </w:divBdr>
    </w:div>
    <w:div w:id="279146365">
      <w:bodyDiv w:val="1"/>
      <w:marLeft w:val="0"/>
      <w:marRight w:val="0"/>
      <w:marTop w:val="0"/>
      <w:marBottom w:val="0"/>
      <w:divBdr>
        <w:top w:val="none" w:sz="0" w:space="0" w:color="auto"/>
        <w:left w:val="none" w:sz="0" w:space="0" w:color="auto"/>
        <w:bottom w:val="none" w:sz="0" w:space="0" w:color="auto"/>
        <w:right w:val="none" w:sz="0" w:space="0" w:color="auto"/>
      </w:divBdr>
    </w:div>
    <w:div w:id="308756520">
      <w:bodyDiv w:val="1"/>
      <w:marLeft w:val="0"/>
      <w:marRight w:val="0"/>
      <w:marTop w:val="0"/>
      <w:marBottom w:val="0"/>
      <w:divBdr>
        <w:top w:val="none" w:sz="0" w:space="0" w:color="auto"/>
        <w:left w:val="none" w:sz="0" w:space="0" w:color="auto"/>
        <w:bottom w:val="none" w:sz="0" w:space="0" w:color="auto"/>
        <w:right w:val="none" w:sz="0" w:space="0" w:color="auto"/>
      </w:divBdr>
    </w:div>
    <w:div w:id="450519801">
      <w:bodyDiv w:val="1"/>
      <w:marLeft w:val="0"/>
      <w:marRight w:val="0"/>
      <w:marTop w:val="0"/>
      <w:marBottom w:val="0"/>
      <w:divBdr>
        <w:top w:val="none" w:sz="0" w:space="0" w:color="auto"/>
        <w:left w:val="none" w:sz="0" w:space="0" w:color="auto"/>
        <w:bottom w:val="none" w:sz="0" w:space="0" w:color="auto"/>
        <w:right w:val="none" w:sz="0" w:space="0" w:color="auto"/>
      </w:divBdr>
    </w:div>
    <w:div w:id="550269109">
      <w:bodyDiv w:val="1"/>
      <w:marLeft w:val="0"/>
      <w:marRight w:val="0"/>
      <w:marTop w:val="0"/>
      <w:marBottom w:val="0"/>
      <w:divBdr>
        <w:top w:val="none" w:sz="0" w:space="0" w:color="auto"/>
        <w:left w:val="none" w:sz="0" w:space="0" w:color="auto"/>
        <w:bottom w:val="none" w:sz="0" w:space="0" w:color="auto"/>
        <w:right w:val="none" w:sz="0" w:space="0" w:color="auto"/>
      </w:divBdr>
    </w:div>
    <w:div w:id="587888297">
      <w:bodyDiv w:val="1"/>
      <w:marLeft w:val="0"/>
      <w:marRight w:val="0"/>
      <w:marTop w:val="0"/>
      <w:marBottom w:val="0"/>
      <w:divBdr>
        <w:top w:val="none" w:sz="0" w:space="0" w:color="auto"/>
        <w:left w:val="none" w:sz="0" w:space="0" w:color="auto"/>
        <w:bottom w:val="none" w:sz="0" w:space="0" w:color="auto"/>
        <w:right w:val="none" w:sz="0" w:space="0" w:color="auto"/>
      </w:divBdr>
    </w:div>
    <w:div w:id="809446723">
      <w:bodyDiv w:val="1"/>
      <w:marLeft w:val="0"/>
      <w:marRight w:val="0"/>
      <w:marTop w:val="0"/>
      <w:marBottom w:val="0"/>
      <w:divBdr>
        <w:top w:val="none" w:sz="0" w:space="0" w:color="auto"/>
        <w:left w:val="none" w:sz="0" w:space="0" w:color="auto"/>
        <w:bottom w:val="none" w:sz="0" w:space="0" w:color="auto"/>
        <w:right w:val="none" w:sz="0" w:space="0" w:color="auto"/>
      </w:divBdr>
    </w:div>
    <w:div w:id="916356462">
      <w:bodyDiv w:val="1"/>
      <w:marLeft w:val="0"/>
      <w:marRight w:val="0"/>
      <w:marTop w:val="0"/>
      <w:marBottom w:val="0"/>
      <w:divBdr>
        <w:top w:val="none" w:sz="0" w:space="0" w:color="auto"/>
        <w:left w:val="none" w:sz="0" w:space="0" w:color="auto"/>
        <w:bottom w:val="none" w:sz="0" w:space="0" w:color="auto"/>
        <w:right w:val="none" w:sz="0" w:space="0" w:color="auto"/>
      </w:divBdr>
    </w:div>
    <w:div w:id="918363780">
      <w:bodyDiv w:val="1"/>
      <w:marLeft w:val="0"/>
      <w:marRight w:val="0"/>
      <w:marTop w:val="0"/>
      <w:marBottom w:val="0"/>
      <w:divBdr>
        <w:top w:val="none" w:sz="0" w:space="0" w:color="auto"/>
        <w:left w:val="none" w:sz="0" w:space="0" w:color="auto"/>
        <w:bottom w:val="none" w:sz="0" w:space="0" w:color="auto"/>
        <w:right w:val="none" w:sz="0" w:space="0" w:color="auto"/>
      </w:divBdr>
    </w:div>
    <w:div w:id="949167017">
      <w:bodyDiv w:val="1"/>
      <w:marLeft w:val="0"/>
      <w:marRight w:val="0"/>
      <w:marTop w:val="0"/>
      <w:marBottom w:val="0"/>
      <w:divBdr>
        <w:top w:val="none" w:sz="0" w:space="0" w:color="auto"/>
        <w:left w:val="none" w:sz="0" w:space="0" w:color="auto"/>
        <w:bottom w:val="none" w:sz="0" w:space="0" w:color="auto"/>
        <w:right w:val="none" w:sz="0" w:space="0" w:color="auto"/>
      </w:divBdr>
    </w:div>
    <w:div w:id="1144079979">
      <w:bodyDiv w:val="1"/>
      <w:marLeft w:val="0"/>
      <w:marRight w:val="0"/>
      <w:marTop w:val="0"/>
      <w:marBottom w:val="0"/>
      <w:divBdr>
        <w:top w:val="none" w:sz="0" w:space="0" w:color="auto"/>
        <w:left w:val="none" w:sz="0" w:space="0" w:color="auto"/>
        <w:bottom w:val="none" w:sz="0" w:space="0" w:color="auto"/>
        <w:right w:val="none" w:sz="0" w:space="0" w:color="auto"/>
      </w:divBdr>
    </w:div>
    <w:div w:id="1304314573">
      <w:bodyDiv w:val="1"/>
      <w:marLeft w:val="0"/>
      <w:marRight w:val="0"/>
      <w:marTop w:val="0"/>
      <w:marBottom w:val="0"/>
      <w:divBdr>
        <w:top w:val="none" w:sz="0" w:space="0" w:color="auto"/>
        <w:left w:val="none" w:sz="0" w:space="0" w:color="auto"/>
        <w:bottom w:val="none" w:sz="0" w:space="0" w:color="auto"/>
        <w:right w:val="none" w:sz="0" w:space="0" w:color="auto"/>
      </w:divBdr>
    </w:div>
    <w:div w:id="1326862314">
      <w:bodyDiv w:val="1"/>
      <w:marLeft w:val="0"/>
      <w:marRight w:val="0"/>
      <w:marTop w:val="0"/>
      <w:marBottom w:val="0"/>
      <w:divBdr>
        <w:top w:val="none" w:sz="0" w:space="0" w:color="auto"/>
        <w:left w:val="none" w:sz="0" w:space="0" w:color="auto"/>
        <w:bottom w:val="none" w:sz="0" w:space="0" w:color="auto"/>
        <w:right w:val="none" w:sz="0" w:space="0" w:color="auto"/>
      </w:divBdr>
    </w:div>
    <w:div w:id="1593736998">
      <w:bodyDiv w:val="1"/>
      <w:marLeft w:val="0"/>
      <w:marRight w:val="0"/>
      <w:marTop w:val="0"/>
      <w:marBottom w:val="0"/>
      <w:divBdr>
        <w:top w:val="none" w:sz="0" w:space="0" w:color="auto"/>
        <w:left w:val="none" w:sz="0" w:space="0" w:color="auto"/>
        <w:bottom w:val="none" w:sz="0" w:space="0" w:color="auto"/>
        <w:right w:val="none" w:sz="0" w:space="0" w:color="auto"/>
      </w:divBdr>
    </w:div>
    <w:div w:id="1699233765">
      <w:bodyDiv w:val="1"/>
      <w:marLeft w:val="0"/>
      <w:marRight w:val="0"/>
      <w:marTop w:val="0"/>
      <w:marBottom w:val="0"/>
      <w:divBdr>
        <w:top w:val="none" w:sz="0" w:space="0" w:color="auto"/>
        <w:left w:val="none" w:sz="0" w:space="0" w:color="auto"/>
        <w:bottom w:val="none" w:sz="0" w:space="0" w:color="auto"/>
        <w:right w:val="none" w:sz="0" w:space="0" w:color="auto"/>
      </w:divBdr>
    </w:div>
    <w:div w:id="1801024325">
      <w:bodyDiv w:val="1"/>
      <w:marLeft w:val="0"/>
      <w:marRight w:val="0"/>
      <w:marTop w:val="0"/>
      <w:marBottom w:val="0"/>
      <w:divBdr>
        <w:top w:val="none" w:sz="0" w:space="0" w:color="auto"/>
        <w:left w:val="none" w:sz="0" w:space="0" w:color="auto"/>
        <w:bottom w:val="none" w:sz="0" w:space="0" w:color="auto"/>
        <w:right w:val="none" w:sz="0" w:space="0" w:color="auto"/>
      </w:divBdr>
    </w:div>
    <w:div w:id="1908763494">
      <w:bodyDiv w:val="1"/>
      <w:marLeft w:val="0"/>
      <w:marRight w:val="0"/>
      <w:marTop w:val="0"/>
      <w:marBottom w:val="0"/>
      <w:divBdr>
        <w:top w:val="none" w:sz="0" w:space="0" w:color="auto"/>
        <w:left w:val="none" w:sz="0" w:space="0" w:color="auto"/>
        <w:bottom w:val="none" w:sz="0" w:space="0" w:color="auto"/>
        <w:right w:val="none" w:sz="0" w:space="0" w:color="auto"/>
      </w:divBdr>
    </w:div>
    <w:div w:id="2044094816">
      <w:bodyDiv w:val="1"/>
      <w:marLeft w:val="0"/>
      <w:marRight w:val="0"/>
      <w:marTop w:val="0"/>
      <w:marBottom w:val="0"/>
      <w:divBdr>
        <w:top w:val="none" w:sz="0" w:space="0" w:color="auto"/>
        <w:left w:val="none" w:sz="0" w:space="0" w:color="auto"/>
        <w:bottom w:val="none" w:sz="0" w:space="0" w:color="auto"/>
        <w:right w:val="none" w:sz="0" w:space="0" w:color="auto"/>
      </w:divBdr>
    </w:div>
    <w:div w:id="2124300377">
      <w:bodyDiv w:val="1"/>
      <w:marLeft w:val="0"/>
      <w:marRight w:val="0"/>
      <w:marTop w:val="0"/>
      <w:marBottom w:val="0"/>
      <w:divBdr>
        <w:top w:val="none" w:sz="0" w:space="0" w:color="auto"/>
        <w:left w:val="none" w:sz="0" w:space="0" w:color="auto"/>
        <w:bottom w:val="none" w:sz="0" w:space="0" w:color="auto"/>
        <w:right w:val="none" w:sz="0" w:space="0" w:color="auto"/>
      </w:divBdr>
    </w:div>
    <w:div w:id="2124953681">
      <w:bodyDiv w:val="1"/>
      <w:marLeft w:val="0"/>
      <w:marRight w:val="0"/>
      <w:marTop w:val="0"/>
      <w:marBottom w:val="0"/>
      <w:divBdr>
        <w:top w:val="none" w:sz="0" w:space="0" w:color="auto"/>
        <w:left w:val="none" w:sz="0" w:space="0" w:color="auto"/>
        <w:bottom w:val="none" w:sz="0" w:space="0" w:color="auto"/>
        <w:right w:val="none" w:sz="0" w:space="0" w:color="auto"/>
      </w:divBdr>
    </w:div>
    <w:div w:id="21342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yperlink" Target="https://www.legifrance.gouv.fr/download/pdf?id=a5jquGFQ3lhkSUprjbhVnapX1UJ1rDeZ-KtqKaYgx6E=" TargetMode="External"/><Relationship Id="rId18" Type="http://schemas.openxmlformats.org/officeDocument/2006/relationships/hyperlink" Target="https://www.legifrance.gouv.fr/download/pdf?id=f2lWDyHc8xCCwDBVEgisb_5NrIwg7x3n0jQRfX5V8aI=" TargetMode="External"/><Relationship Id="rId26" Type="http://schemas.openxmlformats.org/officeDocument/2006/relationships/hyperlink" Target="https://www.legifrance.gouv.fr/download/pdf?id=a5jquGFQ3lhkSUprjbhVnckP2_lWvYIGieHLq4-tJcc=" TargetMode="External"/><Relationship Id="rId3" Type="http://schemas.openxmlformats.org/officeDocument/2006/relationships/styles" Target="styles.xml"/><Relationship Id="rId21" Type="http://schemas.openxmlformats.org/officeDocument/2006/relationships/hyperlink" Target="https://www.legifrance.gouv.fr/download/pdf?id=gwVEG1YigEmEk7G8bNpQh3F6KtYbqBeEYEm09DL2ol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france.gouv.fr/download/pdf?id=a5jquGFQ3lhkSUprjbhVnWJi709HFzX71t0Vtk29T2s=" TargetMode="External"/><Relationship Id="rId17" Type="http://schemas.openxmlformats.org/officeDocument/2006/relationships/hyperlink" Target="https://www.legifrance.gouv.fr/download/pdf?id=f2lWDyHc8xCCwDBVEgisb2K_xyY81mWMZ4M2rjQMhI0=" TargetMode="External"/><Relationship Id="rId25" Type="http://schemas.openxmlformats.org/officeDocument/2006/relationships/hyperlink" Target="https://www.legifrance.gouv.fr/download/pdf?id=3cczq77HaWfl01iLo0-3HT-JISfnoT3znwRixUsakfQ="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france.gouv.fr/download/pdf?id=2fSg0gK8SkxFiE_nE2Iu0kd9U0FCEBUDGln4NG1t4R8=" TargetMode="External"/><Relationship Id="rId20" Type="http://schemas.openxmlformats.org/officeDocument/2006/relationships/hyperlink" Target="https://www.legifrance.gouv.fr/download/pdf?id=gwVEG1YigEmEk7G8bNpQh8Xue6e00N38ALbR05J-d0I=" TargetMode="External"/><Relationship Id="rId29" Type="http://schemas.openxmlformats.org/officeDocument/2006/relationships/hyperlink" Target="https://www.legifrance.gouv.fr/download/pdf?id=owYIOF0heS3nQ5xynKliEUbBMfTQbyQg6JlWaokBl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download/pdf?id=9xqNMCVdsBe-WFsq9eEVrvuR4YzxM7bQhUHS4PgsTK8=" TargetMode="External"/><Relationship Id="rId24" Type="http://schemas.openxmlformats.org/officeDocument/2006/relationships/hyperlink" Target="https://www.legifrance.gouv.fr/download/pdf?id=gwVEG1YigEmEk7G8bNpQh4OIURU_fHHytH0XV8ClOKk=" TargetMode="External"/><Relationship Id="rId32" Type="http://schemas.openxmlformats.org/officeDocument/2006/relationships/hyperlink" Target="https://www.legifrance.gouv.fr/download/pdf?id=9xqNMCVdsBe-WFsq9eEVrmWUgvYvfJ3GciREwkWtl3E=" TargetMode="External"/><Relationship Id="rId5" Type="http://schemas.openxmlformats.org/officeDocument/2006/relationships/webSettings" Target="webSettings.xml"/><Relationship Id="rId15" Type="http://schemas.openxmlformats.org/officeDocument/2006/relationships/hyperlink" Target="https://www.legifrance.gouv.fr/download/pdf?id=-19e23OnHROyePeB0JzFNBc9XmPdTldOr1leGPeamak=" TargetMode="External"/><Relationship Id="rId23" Type="http://schemas.openxmlformats.org/officeDocument/2006/relationships/hyperlink" Target="https://www.legifrance.gouv.fr/download/pdf?id=f2lWDyHc8xCCwDBVEgisb0myoT77geQNGxiOsRT9ZYU=" TargetMode="External"/><Relationship Id="rId28" Type="http://schemas.openxmlformats.org/officeDocument/2006/relationships/hyperlink" Target="https://www.legifrance.gouv.fr/download/pdf?id=owYIOF0heS3nQ5xynKliEc1EHFQ2DgWXsjxXY-a5RFQ=" TargetMode="External"/><Relationship Id="rId10" Type="http://schemas.openxmlformats.org/officeDocument/2006/relationships/hyperlink" Target="https://www.legifrance.gouv.fr/download/pdf?id=9xqNMCVdsBe-WFsq9eEVrsv6NrJkcVkSMyPlEPx4WyI=" TargetMode="External"/><Relationship Id="rId19" Type="http://schemas.openxmlformats.org/officeDocument/2006/relationships/hyperlink" Target="https://www.legifrance.gouv.fr/download/pdf?id=gwVEG1YigEmEk7G8bNpQh-NldSv3V6deoj07JYZtOrw=" TargetMode="External"/><Relationship Id="rId31" Type="http://schemas.openxmlformats.org/officeDocument/2006/relationships/hyperlink" Target="https://www.legifrance.gouv.fr/download/pdf?id=9xqNMCVdsBe-WFsq9eEVrviR_kLOeqYv_OnSiGFBhAg=" TargetMode="External"/><Relationship Id="rId4" Type="http://schemas.openxmlformats.org/officeDocument/2006/relationships/settings" Target="settings.xml"/><Relationship Id="rId9" Type="http://schemas.openxmlformats.org/officeDocument/2006/relationships/hyperlink" Target="https://www.legifrance.gouv.fr/download/pdf?id=9xqNMCVdsBe-WFsq9eEVrqeQv1ug82R06uWzmx3uVt0=" TargetMode="External"/><Relationship Id="rId14" Type="http://schemas.openxmlformats.org/officeDocument/2006/relationships/hyperlink" Target="https://www.legifrance.gouv.fr/download/pdf?id=a5jquGFQ3lhkSUprjbhVnaM-j7ocOAKHUZTY7AMRhSg=" TargetMode="External"/><Relationship Id="rId22" Type="http://schemas.openxmlformats.org/officeDocument/2006/relationships/hyperlink" Target="https://www.legifrance.gouv.fr/download/pdf?id=3cczq77HaWfl01iLo0-3HeMghRZ7-EClVo0KcIkiI08=" TargetMode="External"/><Relationship Id="rId27" Type="http://schemas.openxmlformats.org/officeDocument/2006/relationships/hyperlink" Target="https://www.legifrance.gouv.fr/download/pdf?id=EnC_YKLsdlI6zeynbqwe1oiX_erjixoTD_Jy3AVXRFk=" TargetMode="External"/><Relationship Id="rId30" Type="http://schemas.openxmlformats.org/officeDocument/2006/relationships/hyperlink" Target="https://www.legifrance.gouv.fr/download/pdf?id=brmGuqwp_T0wkt_Iy250cmt3d3v456rFwUI5JhYvX1Y="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F5BA-FAD1-4A18-8015-1D739C34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3453</Words>
  <Characters>18992</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Piatek</dc:creator>
  <cp:keywords/>
  <dc:description/>
  <cp:lastModifiedBy>Jean-Marc Piatek</cp:lastModifiedBy>
  <cp:revision>86</cp:revision>
  <dcterms:created xsi:type="dcterms:W3CDTF">2025-12-12T09:55:00Z</dcterms:created>
  <dcterms:modified xsi:type="dcterms:W3CDTF">2026-01-05T15:39:00Z</dcterms:modified>
</cp:coreProperties>
</file>